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Pr="007B2D54" w:rsidRDefault="002B57D1" w:rsidP="003540A8">
      <w:pPr>
        <w:spacing w:after="12"/>
        <w:rPr>
          <w:rFonts w:ascii="Book Antiqua" w:hAnsi="Book Antiqua" w:cs="Times New Roman"/>
          <w:b/>
          <w:sz w:val="24"/>
          <w:szCs w:val="24"/>
        </w:rPr>
      </w:pPr>
    </w:p>
    <w:p w:rsidR="003540A8" w:rsidRPr="007B2D54" w:rsidRDefault="003540A8" w:rsidP="003540A8">
      <w:pPr>
        <w:spacing w:after="12"/>
        <w:rPr>
          <w:rFonts w:ascii="Book Antiqua" w:hAnsi="Book Antiqua" w:cs="Times New Roman"/>
          <w:b/>
          <w:sz w:val="24"/>
          <w:szCs w:val="24"/>
        </w:rPr>
      </w:pPr>
      <w:r w:rsidRPr="007B2D54">
        <w:rPr>
          <w:rFonts w:ascii="Book Antiqua" w:hAnsi="Book Antiqua"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v:textbox>
              </v:shape>
            </w:pict>
          </mc:Fallback>
        </mc:AlternateContent>
      </w:r>
      <w:r w:rsidRPr="007B2D54">
        <w:rPr>
          <w:rFonts w:ascii="Book Antiqua" w:hAnsi="Book Antiqua"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Pr="00B8674A" w:rsidRDefault="003540A8" w:rsidP="003540A8">
                            <w:pPr>
                              <w:jc w:val="center"/>
                              <w:rPr>
                                <w:rFonts w:ascii="Copperplate Gothic Bold" w:hAnsi="Copperplate Gothic Bold"/>
                                <w:sz w:val="40"/>
                                <w:szCs w:val="40"/>
                              </w:rPr>
                            </w:pPr>
                          </w:p>
                          <w:p w:rsidR="003540A8" w:rsidRDefault="00E57F90" w:rsidP="003540A8">
                            <w:pPr>
                              <w:jc w:val="center"/>
                              <w:rPr>
                                <w:rFonts w:ascii="Copperplate Gothic Bold" w:hAnsi="Copperplate Gothic Bold"/>
                                <w:sz w:val="40"/>
                                <w:szCs w:val="40"/>
                              </w:rPr>
                            </w:pPr>
                            <w:r>
                              <w:rPr>
                                <w:rFonts w:ascii="Copperplate Gothic Bold" w:hAnsi="Copperplate Gothic Bold"/>
                                <w:sz w:val="40"/>
                                <w:szCs w:val="40"/>
                              </w:rPr>
                              <w:t>Fraud Investigation and Audit</w:t>
                            </w:r>
                          </w:p>
                          <w:p w:rsidR="003540A8" w:rsidRPr="00B8674A" w:rsidRDefault="003540A8"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3540A8" w:rsidRPr="00B8674A" w:rsidRDefault="003540A8" w:rsidP="003540A8">
                      <w:pPr>
                        <w:jc w:val="center"/>
                        <w:rPr>
                          <w:rFonts w:ascii="Copperplate Gothic Bold" w:hAnsi="Copperplate Gothic Bold"/>
                          <w:sz w:val="40"/>
                          <w:szCs w:val="40"/>
                        </w:rPr>
                      </w:pPr>
                    </w:p>
                    <w:p w:rsidR="003540A8" w:rsidRDefault="00E57F90" w:rsidP="003540A8">
                      <w:pPr>
                        <w:jc w:val="center"/>
                        <w:rPr>
                          <w:rFonts w:ascii="Copperplate Gothic Bold" w:hAnsi="Copperplate Gothic Bold"/>
                          <w:sz w:val="40"/>
                          <w:szCs w:val="40"/>
                        </w:rPr>
                      </w:pPr>
                      <w:r>
                        <w:rPr>
                          <w:rFonts w:ascii="Copperplate Gothic Bold" w:hAnsi="Copperplate Gothic Bold"/>
                          <w:sz w:val="40"/>
                          <w:szCs w:val="40"/>
                        </w:rPr>
                        <w:t>Fraud Investigation and Audit</w:t>
                      </w:r>
                    </w:p>
                    <w:p w:rsidR="003540A8" w:rsidRPr="00B8674A" w:rsidRDefault="003540A8" w:rsidP="003540A8">
                      <w:pPr>
                        <w:jc w:val="center"/>
                        <w:rPr>
                          <w:rFonts w:ascii="Copperplate Gothic Bold" w:hAnsi="Copperplate Gothic Bold"/>
                          <w:sz w:val="40"/>
                          <w:szCs w:val="40"/>
                        </w:rPr>
                      </w:pPr>
                    </w:p>
                  </w:txbxContent>
                </v:textbox>
              </v:shape>
            </w:pict>
          </mc:Fallback>
        </mc:AlternateContent>
      </w:r>
      <w:r w:rsidRPr="007B2D54">
        <w:rPr>
          <w:rFonts w:ascii="Book Antiqua" w:hAnsi="Book Antiqua"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07563C" w:rsidP="003540A8">
                            <w:pPr>
                              <w:numPr>
                                <w:ilvl w:val="0"/>
                                <w:numId w:val="2"/>
                              </w:numPr>
                              <w:autoSpaceDE w:val="0"/>
                              <w:autoSpaceDN w:val="0"/>
                              <w:adjustRightInd w:val="0"/>
                              <w:spacing w:after="0" w:line="360" w:lineRule="auto"/>
                              <w:rPr>
                                <w:rFonts w:asciiTheme="minorBidi" w:hAnsiTheme="minorBidi"/>
                                <w:color w:val="000000"/>
                                <w:sz w:val="18"/>
                                <w:szCs w:val="18"/>
                              </w:rPr>
                            </w:pPr>
                            <w:r>
                              <w:rPr>
                                <w:rFonts w:asciiTheme="minorBidi" w:hAnsiTheme="minorBidi"/>
                                <w:color w:val="000000"/>
                                <w:sz w:val="18"/>
                                <w:szCs w:val="18"/>
                              </w:rPr>
                              <w:t xml:space="preserve">Attempt any five </w:t>
                            </w:r>
                            <w:r w:rsidR="003540A8" w:rsidRPr="00911BDD">
                              <w:rPr>
                                <w:rFonts w:asciiTheme="minorBidi" w:hAnsiTheme="minorBidi"/>
                                <w:color w:val="000000"/>
                                <w:sz w:val="18"/>
                                <w:szCs w:val="18"/>
                              </w:rPr>
                              <w:t xml:space="preserve">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07563C" w:rsidP="003540A8">
                      <w:pPr>
                        <w:numPr>
                          <w:ilvl w:val="0"/>
                          <w:numId w:val="2"/>
                        </w:numPr>
                        <w:autoSpaceDE w:val="0"/>
                        <w:autoSpaceDN w:val="0"/>
                        <w:adjustRightInd w:val="0"/>
                        <w:spacing w:after="0" w:line="360" w:lineRule="auto"/>
                        <w:rPr>
                          <w:rFonts w:asciiTheme="minorBidi" w:hAnsiTheme="minorBidi"/>
                          <w:color w:val="000000"/>
                          <w:sz w:val="18"/>
                          <w:szCs w:val="18"/>
                        </w:rPr>
                      </w:pPr>
                      <w:r>
                        <w:rPr>
                          <w:rFonts w:asciiTheme="minorBidi" w:hAnsiTheme="minorBidi"/>
                          <w:color w:val="000000"/>
                          <w:sz w:val="18"/>
                          <w:szCs w:val="18"/>
                        </w:rPr>
                        <w:t xml:space="preserve">Attempt any five </w:t>
                      </w:r>
                      <w:r w:rsidR="003540A8" w:rsidRPr="00911BDD">
                        <w:rPr>
                          <w:rFonts w:asciiTheme="minorBidi" w:hAnsiTheme="minorBidi"/>
                          <w:color w:val="000000"/>
                          <w:sz w:val="18"/>
                          <w:szCs w:val="18"/>
                        </w:rPr>
                        <w:t xml:space="preserve">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v:textbox>
              </v:shape>
            </w:pict>
          </mc:Fallback>
        </mc:AlternateContent>
      </w:r>
      <w:r w:rsidRPr="007B2D54">
        <w:rPr>
          <w:rFonts w:ascii="Book Antiqua" w:hAnsi="Book Antiqua"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4E4B43" w:rsidP="00EC3FD1">
                            <w:pPr>
                              <w:spacing w:after="120"/>
                              <w:jc w:val="center"/>
                              <w:rPr>
                                <w:rFonts w:ascii="Copperplate Gothic Bold" w:hAnsi="Copperplate Gothic Bold"/>
                                <w:sz w:val="32"/>
                              </w:rPr>
                            </w:pPr>
                            <w:r>
                              <w:rPr>
                                <w:rFonts w:ascii="Copperplate Gothic Bold" w:hAnsi="Copperplate Gothic Bold"/>
                                <w:sz w:val="32"/>
                              </w:rPr>
                              <w:t>Winter</w:t>
                            </w:r>
                            <w:r w:rsidR="00EC3FD1">
                              <w:rPr>
                                <w:rFonts w:ascii="Copperplate Gothic Bold" w:hAnsi="Copperplate Gothic Bold"/>
                                <w:sz w:val="32"/>
                              </w:rPr>
                              <w:t xml:space="preserve"> </w:t>
                            </w:r>
                            <w:r w:rsidR="00B145A0">
                              <w:rPr>
                                <w:rFonts w:ascii="Copperplate Gothic Bold" w:hAnsi="Copperplate Gothic Bold"/>
                                <w:sz w:val="32"/>
                              </w:rPr>
                              <w:t>-201</w:t>
                            </w:r>
                            <w:r w:rsidR="00EC3FD1">
                              <w:rPr>
                                <w:rFonts w:ascii="Copperplate Gothic Bold" w:hAnsi="Copperplate Gothic Bold"/>
                                <w:sz w:val="32"/>
                              </w:rPr>
                              <w:t>7</w:t>
                            </w:r>
                          </w:p>
                          <w:p w:rsidR="00B145A0" w:rsidRDefault="00B145A0" w:rsidP="00B145A0">
                            <w:pPr>
                              <w:spacing w:after="0"/>
                              <w:jc w:val="center"/>
                              <w:rPr>
                                <w:rFonts w:ascii="Copperplate Gothic Bold" w:hAnsi="Copperplate Gothic Bold"/>
                                <w:sz w:val="32"/>
                              </w:rPr>
                            </w:pPr>
                          </w:p>
                          <w:p w:rsidR="003540A8" w:rsidRPr="00B145A0" w:rsidRDefault="00893D2C" w:rsidP="00EC3FD1">
                            <w:pPr>
                              <w:spacing w:after="0"/>
                              <w:jc w:val="center"/>
                              <w:rPr>
                                <w:rFonts w:ascii="Copperplate Gothic Bold" w:hAnsi="Copperplate Gothic Bold"/>
                                <w:sz w:val="24"/>
                                <w:szCs w:val="24"/>
                              </w:rPr>
                            </w:pPr>
                            <w:r>
                              <w:rPr>
                                <w:rFonts w:ascii="Copperplate Gothic Bold" w:hAnsi="Copperplate Gothic Bold"/>
                                <w:sz w:val="24"/>
                                <w:szCs w:val="24"/>
                              </w:rPr>
                              <w:t>Tues</w:t>
                            </w:r>
                            <w:r w:rsidR="002E7138">
                              <w:rPr>
                                <w:rFonts w:ascii="Copperplate Gothic Bold" w:hAnsi="Copperplate Gothic Bold"/>
                                <w:sz w:val="24"/>
                                <w:szCs w:val="24"/>
                              </w:rPr>
                              <w:t>day</w:t>
                            </w:r>
                            <w:r w:rsidR="00B944FF">
                              <w:rPr>
                                <w:rFonts w:ascii="Copperplate Gothic Bold" w:hAnsi="Copperplate Gothic Bold"/>
                                <w:sz w:val="24"/>
                                <w:szCs w:val="24"/>
                              </w:rPr>
                              <w:t xml:space="preserve">, </w:t>
                            </w:r>
                            <w:r w:rsidR="00666592">
                              <w:rPr>
                                <w:rFonts w:ascii="Copperplate Gothic Bold" w:hAnsi="Copperplate Gothic Bold"/>
                                <w:sz w:val="24"/>
                                <w:szCs w:val="24"/>
                              </w:rPr>
                              <w:t>December 19</w:t>
                            </w:r>
                            <w:r w:rsidR="00B145A0">
                              <w:rPr>
                                <w:rFonts w:ascii="Copperplate Gothic Bold" w:hAnsi="Copperplate Gothic Bold"/>
                                <w:sz w:val="24"/>
                                <w:szCs w:val="24"/>
                              </w:rPr>
                              <w:t>, 201</w:t>
                            </w:r>
                            <w:r w:rsidR="00EC3FD1">
                              <w:rPr>
                                <w:rFonts w:ascii="Copperplate Gothic Bold" w:hAnsi="Copperplate Gothic Bold"/>
                                <w:sz w:val="24"/>
                                <w:szCs w:val="24"/>
                              </w:rPr>
                              <w:t>7</w:t>
                            </w:r>
                          </w:p>
                          <w:p w:rsidR="003540A8" w:rsidRDefault="003540A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4E4B43" w:rsidP="00EC3FD1">
                      <w:pPr>
                        <w:spacing w:after="120"/>
                        <w:jc w:val="center"/>
                        <w:rPr>
                          <w:rFonts w:ascii="Copperplate Gothic Bold" w:hAnsi="Copperplate Gothic Bold"/>
                          <w:sz w:val="32"/>
                        </w:rPr>
                      </w:pPr>
                      <w:r>
                        <w:rPr>
                          <w:rFonts w:ascii="Copperplate Gothic Bold" w:hAnsi="Copperplate Gothic Bold"/>
                          <w:sz w:val="32"/>
                        </w:rPr>
                        <w:t>Winter</w:t>
                      </w:r>
                      <w:r w:rsidR="00EC3FD1">
                        <w:rPr>
                          <w:rFonts w:ascii="Copperplate Gothic Bold" w:hAnsi="Copperplate Gothic Bold"/>
                          <w:sz w:val="32"/>
                        </w:rPr>
                        <w:t xml:space="preserve"> </w:t>
                      </w:r>
                      <w:r w:rsidR="00B145A0">
                        <w:rPr>
                          <w:rFonts w:ascii="Copperplate Gothic Bold" w:hAnsi="Copperplate Gothic Bold"/>
                          <w:sz w:val="32"/>
                        </w:rPr>
                        <w:t>-201</w:t>
                      </w:r>
                      <w:r w:rsidR="00EC3FD1">
                        <w:rPr>
                          <w:rFonts w:ascii="Copperplate Gothic Bold" w:hAnsi="Copperplate Gothic Bold"/>
                          <w:sz w:val="32"/>
                        </w:rPr>
                        <w:t>7</w:t>
                      </w:r>
                    </w:p>
                    <w:p w:rsidR="00B145A0" w:rsidRDefault="00B145A0" w:rsidP="00B145A0">
                      <w:pPr>
                        <w:spacing w:after="0"/>
                        <w:jc w:val="center"/>
                        <w:rPr>
                          <w:rFonts w:ascii="Copperplate Gothic Bold" w:hAnsi="Copperplate Gothic Bold"/>
                          <w:sz w:val="32"/>
                        </w:rPr>
                      </w:pPr>
                    </w:p>
                    <w:p w:rsidR="003540A8" w:rsidRPr="00B145A0" w:rsidRDefault="00893D2C" w:rsidP="00EC3FD1">
                      <w:pPr>
                        <w:spacing w:after="0"/>
                        <w:jc w:val="center"/>
                        <w:rPr>
                          <w:rFonts w:ascii="Copperplate Gothic Bold" w:hAnsi="Copperplate Gothic Bold"/>
                          <w:sz w:val="24"/>
                          <w:szCs w:val="24"/>
                        </w:rPr>
                      </w:pPr>
                      <w:r>
                        <w:rPr>
                          <w:rFonts w:ascii="Copperplate Gothic Bold" w:hAnsi="Copperplate Gothic Bold"/>
                          <w:sz w:val="24"/>
                          <w:szCs w:val="24"/>
                        </w:rPr>
                        <w:t>Tues</w:t>
                      </w:r>
                      <w:r w:rsidR="002E7138">
                        <w:rPr>
                          <w:rFonts w:ascii="Copperplate Gothic Bold" w:hAnsi="Copperplate Gothic Bold"/>
                          <w:sz w:val="24"/>
                          <w:szCs w:val="24"/>
                        </w:rPr>
                        <w:t>day</w:t>
                      </w:r>
                      <w:r w:rsidR="00B944FF">
                        <w:rPr>
                          <w:rFonts w:ascii="Copperplate Gothic Bold" w:hAnsi="Copperplate Gothic Bold"/>
                          <w:sz w:val="24"/>
                          <w:szCs w:val="24"/>
                        </w:rPr>
                        <w:t xml:space="preserve">, </w:t>
                      </w:r>
                      <w:r w:rsidR="00666592">
                        <w:rPr>
                          <w:rFonts w:ascii="Copperplate Gothic Bold" w:hAnsi="Copperplate Gothic Bold"/>
                          <w:sz w:val="24"/>
                          <w:szCs w:val="24"/>
                        </w:rPr>
                        <w:t>December 19</w:t>
                      </w:r>
                      <w:r w:rsidR="00B145A0">
                        <w:rPr>
                          <w:rFonts w:ascii="Copperplate Gothic Bold" w:hAnsi="Copperplate Gothic Bold"/>
                          <w:sz w:val="24"/>
                          <w:szCs w:val="24"/>
                        </w:rPr>
                        <w:t>, 201</w:t>
                      </w:r>
                      <w:r w:rsidR="00EC3FD1">
                        <w:rPr>
                          <w:rFonts w:ascii="Copperplate Gothic Bold" w:hAnsi="Copperplate Gothic Bold"/>
                          <w:sz w:val="24"/>
                          <w:szCs w:val="24"/>
                        </w:rPr>
                        <w:t>7</w:t>
                      </w:r>
                    </w:p>
                    <w:p w:rsidR="003540A8" w:rsidRDefault="003540A8" w:rsidP="00B145A0">
                      <w:pPr>
                        <w:spacing w:after="0"/>
                        <w:jc w:val="center"/>
                        <w:rPr>
                          <w:rFonts w:ascii="Copperplate Gothic Bold" w:hAnsi="Copperplate Gothic Bold"/>
                          <w:sz w:val="20"/>
                        </w:rPr>
                      </w:pPr>
                    </w:p>
                  </w:txbxContent>
                </v:textbox>
              </v:shape>
            </w:pict>
          </mc:Fallback>
        </mc:AlternateContent>
      </w:r>
      <w:r w:rsidRPr="007B2D54">
        <w:rPr>
          <w:rFonts w:ascii="Book Antiqua" w:hAnsi="Book Antiqua"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v:textbox>
              </v:shape>
            </w:pict>
          </mc:Fallback>
        </mc:AlternateContent>
      </w:r>
      <w:r w:rsidRPr="007B2D54">
        <w:rPr>
          <w:rFonts w:ascii="Book Antiqua" w:hAnsi="Book Antiqua"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A6D77" w:rsidP="003E25DE">
                            <w:pPr>
                              <w:jc w:val="center"/>
                              <w:rPr>
                                <w:rFonts w:ascii="Berlin Sans FB Demi" w:hAnsi="Berlin Sans FB Demi"/>
                              </w:rPr>
                            </w:pPr>
                            <w:r>
                              <w:rPr>
                                <w:rFonts w:ascii="Berlin Sans FB Demi" w:hAnsi="Berlin Sans FB Demi"/>
                              </w:rPr>
                              <w:t>Skill</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93D2C" w:rsidP="00E57F90">
                            <w:pPr>
                              <w:jc w:val="center"/>
                              <w:rPr>
                                <w:rFonts w:ascii="Algerian" w:hAnsi="Algerian"/>
                                <w:sz w:val="32"/>
                              </w:rPr>
                            </w:pPr>
                            <w:r>
                              <w:rPr>
                                <w:rFonts w:ascii="Algerian" w:hAnsi="Algerian"/>
                                <w:sz w:val="32"/>
                              </w:rPr>
                              <w:t>S</w:t>
                            </w:r>
                            <w:r w:rsidR="00E57F90">
                              <w:rPr>
                                <w:rFonts w:ascii="Algerian" w:hAnsi="Algerian"/>
                                <w:sz w:val="32"/>
                              </w:rPr>
                              <w:t>p</w:t>
                            </w:r>
                            <w:r w:rsidR="004A4AE5">
                              <w:rPr>
                                <w:rFonts w:ascii="Algerian" w:hAnsi="Algerian"/>
                                <w:sz w:val="32"/>
                              </w:rPr>
                              <w:t>-</w:t>
                            </w:r>
                            <w:r w:rsidR="00E57F90">
                              <w:rPr>
                                <w:rFonts w:ascii="Algerian" w:hAnsi="Algerian"/>
                                <w:sz w:val="32"/>
                              </w:rPr>
                              <w:t>612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3540A8" w:rsidRDefault="003A6D77" w:rsidP="003E25DE">
                      <w:pPr>
                        <w:jc w:val="center"/>
                        <w:rPr>
                          <w:rFonts w:ascii="Berlin Sans FB Demi" w:hAnsi="Berlin Sans FB Demi"/>
                        </w:rPr>
                      </w:pPr>
                      <w:r>
                        <w:rPr>
                          <w:rFonts w:ascii="Berlin Sans FB Demi" w:hAnsi="Berlin Sans FB Demi"/>
                        </w:rPr>
                        <w:t>Skill</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93D2C" w:rsidP="00E57F90">
                      <w:pPr>
                        <w:jc w:val="center"/>
                        <w:rPr>
                          <w:rFonts w:ascii="Algerian" w:hAnsi="Algerian"/>
                          <w:sz w:val="32"/>
                        </w:rPr>
                      </w:pPr>
                      <w:r>
                        <w:rPr>
                          <w:rFonts w:ascii="Algerian" w:hAnsi="Algerian"/>
                          <w:sz w:val="32"/>
                        </w:rPr>
                        <w:t>S</w:t>
                      </w:r>
                      <w:r w:rsidR="00E57F90">
                        <w:rPr>
                          <w:rFonts w:ascii="Algerian" w:hAnsi="Algerian"/>
                          <w:sz w:val="32"/>
                        </w:rPr>
                        <w:t>p</w:t>
                      </w:r>
                      <w:r w:rsidR="004A4AE5">
                        <w:rPr>
                          <w:rFonts w:ascii="Algerian" w:hAnsi="Algerian"/>
                          <w:sz w:val="32"/>
                        </w:rPr>
                        <w:t>-</w:t>
                      </w:r>
                      <w:r w:rsidR="00E57F90">
                        <w:rPr>
                          <w:rFonts w:ascii="Algerian" w:hAnsi="Algerian"/>
                          <w:sz w:val="32"/>
                        </w:rPr>
                        <w:t>612</w:t>
                      </w:r>
                    </w:p>
                  </w:txbxContent>
                </v:textbox>
              </v:shape>
            </w:pict>
          </mc:Fallback>
        </mc:AlternateContent>
      </w:r>
      <w:r w:rsidR="006648E8" w:rsidRPr="007B2D54">
        <w:rPr>
          <w:rFonts w:ascii="Book Antiqua" w:hAnsi="Book Antiqua" w:cs="Times New Roman"/>
          <w:b/>
          <w:sz w:val="24"/>
          <w:szCs w:val="24"/>
        </w:rPr>
        <w:t xml:space="preserve"> </w:t>
      </w:r>
    </w:p>
    <w:p w:rsidR="003540A8" w:rsidRPr="007B2D54" w:rsidRDefault="003540A8" w:rsidP="003540A8">
      <w:pPr>
        <w:spacing w:after="12"/>
        <w:rPr>
          <w:rFonts w:ascii="Book Antiqua" w:hAnsi="Book Antiqua" w:cs="Times New Roman"/>
          <w:b/>
          <w:sz w:val="24"/>
          <w:szCs w:val="24"/>
        </w:rPr>
      </w:pPr>
    </w:p>
    <w:p w:rsidR="003540A8" w:rsidRPr="007B2D54" w:rsidRDefault="003540A8" w:rsidP="003540A8">
      <w:pPr>
        <w:spacing w:after="12"/>
        <w:rPr>
          <w:rFonts w:ascii="Book Antiqua" w:hAnsi="Book Antiqua" w:cs="Times New Roman"/>
          <w:b/>
          <w:sz w:val="24"/>
          <w:szCs w:val="24"/>
        </w:rPr>
      </w:pPr>
    </w:p>
    <w:p w:rsidR="003540A8" w:rsidRPr="007B2D54" w:rsidRDefault="003540A8" w:rsidP="00813A47">
      <w:pPr>
        <w:ind w:left="1440" w:firstLine="720"/>
        <w:rPr>
          <w:rFonts w:ascii="Book Antiqua" w:hAnsi="Book Antiqua"/>
          <w:b/>
          <w:bCs/>
          <w:sz w:val="24"/>
          <w:szCs w:val="24"/>
        </w:rPr>
      </w:pPr>
      <w:r w:rsidRPr="007B2D54">
        <w:rPr>
          <w:rFonts w:ascii="Book Antiqua" w:hAnsi="Book Antiqua" w:cs="Times New Roman"/>
          <w:b/>
          <w:sz w:val="24"/>
          <w:szCs w:val="24"/>
          <w:shd w:val="clear" w:color="auto" w:fill="000000"/>
        </w:rPr>
        <w:br w:type="page"/>
      </w:r>
    </w:p>
    <w:p w:rsidR="00813A47" w:rsidRPr="007B2D54" w:rsidRDefault="00813A47" w:rsidP="003540A8">
      <w:pPr>
        <w:spacing w:after="80"/>
        <w:rPr>
          <w:rFonts w:ascii="Book Antiqua" w:hAnsi="Book Antiqua"/>
          <w:sz w:val="24"/>
          <w:szCs w:val="24"/>
          <w:u w:val="single"/>
        </w:rPr>
      </w:pPr>
    </w:p>
    <w:p w:rsidR="00D81504" w:rsidRPr="002F1840" w:rsidRDefault="00D81504" w:rsidP="00D81504">
      <w:pPr>
        <w:pStyle w:val="ListParagraph"/>
        <w:spacing w:after="0"/>
        <w:ind w:left="0"/>
        <w:jc w:val="both"/>
        <w:rPr>
          <w:rFonts w:ascii="Book Antiqua" w:hAnsi="Book Antiqua"/>
          <w:b/>
          <w:bCs/>
          <w:sz w:val="28"/>
          <w:szCs w:val="28"/>
        </w:rPr>
      </w:pPr>
      <w:r w:rsidRPr="002F1840">
        <w:rPr>
          <w:rFonts w:ascii="Book Antiqua" w:hAnsi="Book Antiqua"/>
          <w:b/>
          <w:bCs/>
          <w:sz w:val="28"/>
          <w:szCs w:val="28"/>
        </w:rPr>
        <w:t xml:space="preserve">Question. 1 </w:t>
      </w:r>
    </w:p>
    <w:p w:rsidR="00D81504" w:rsidRPr="002F1840" w:rsidRDefault="00D81504" w:rsidP="00D81504">
      <w:pPr>
        <w:pStyle w:val="ListParagraph"/>
        <w:spacing w:after="0"/>
        <w:ind w:left="0"/>
        <w:jc w:val="both"/>
        <w:rPr>
          <w:rFonts w:ascii="Book Antiqua" w:hAnsi="Book Antiqua"/>
          <w:sz w:val="24"/>
          <w:szCs w:val="24"/>
        </w:rPr>
      </w:pPr>
    </w:p>
    <w:p w:rsidR="007A68AD" w:rsidRPr="002F1840" w:rsidRDefault="007A68AD" w:rsidP="007F3C23">
      <w:pPr>
        <w:autoSpaceDE w:val="0"/>
        <w:autoSpaceDN w:val="0"/>
        <w:adjustRightInd w:val="0"/>
        <w:spacing w:after="0" w:line="240" w:lineRule="auto"/>
        <w:jc w:val="both"/>
        <w:rPr>
          <w:rFonts w:ascii="Book Antiqua" w:hAnsi="Book Antiqua" w:cs="Times New Roman"/>
          <w:bCs/>
          <w:sz w:val="24"/>
          <w:szCs w:val="24"/>
          <w:lang w:val="en-GB"/>
        </w:rPr>
      </w:pPr>
      <w:r w:rsidRPr="002F1840">
        <w:rPr>
          <w:rFonts w:ascii="Book Antiqua" w:hAnsi="Book Antiqua" w:cs="Times New Roman"/>
          <w:bCs/>
          <w:sz w:val="24"/>
          <w:szCs w:val="24"/>
          <w:lang w:val="en-GB"/>
        </w:rPr>
        <w:t>How to prepare the Company for a Fraud Risk Assessment. How Fraud</w:t>
      </w:r>
    </w:p>
    <w:p w:rsidR="00D81504" w:rsidRDefault="007A68AD" w:rsidP="007F3C23">
      <w:pPr>
        <w:pStyle w:val="ListParagraph"/>
        <w:spacing w:after="0"/>
        <w:ind w:left="0"/>
        <w:jc w:val="both"/>
        <w:rPr>
          <w:rFonts w:ascii="Book Antiqua" w:hAnsi="Book Antiqua"/>
          <w:b/>
          <w:bCs/>
          <w:sz w:val="20"/>
          <w:szCs w:val="20"/>
        </w:rPr>
      </w:pPr>
      <w:r w:rsidRPr="002F1840">
        <w:rPr>
          <w:rFonts w:ascii="Book Antiqua" w:hAnsi="Book Antiqua" w:cs="Times New Roman"/>
          <w:bCs/>
          <w:sz w:val="24"/>
          <w:szCs w:val="24"/>
          <w:lang w:val="en-GB"/>
        </w:rPr>
        <w:t>Risk Assessment should be conducted?</w:t>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007B2D54" w:rsidRPr="007F3C23">
        <w:rPr>
          <w:rFonts w:ascii="Book Antiqua" w:hAnsi="Book Antiqua"/>
          <w:b/>
          <w:bCs/>
          <w:sz w:val="20"/>
          <w:szCs w:val="20"/>
        </w:rPr>
        <w:t>(20</w:t>
      </w:r>
      <w:r w:rsidR="00D81504" w:rsidRPr="007F3C23">
        <w:rPr>
          <w:rFonts w:ascii="Book Antiqua" w:hAnsi="Book Antiqua"/>
          <w:b/>
          <w:bCs/>
          <w:sz w:val="20"/>
          <w:szCs w:val="20"/>
        </w:rPr>
        <w:t xml:space="preserve"> Marks)</w:t>
      </w:r>
    </w:p>
    <w:p w:rsidR="00CF1AED" w:rsidRDefault="00CF1AED" w:rsidP="00CF1AED">
      <w:pPr>
        <w:ind w:left="-5"/>
      </w:pPr>
      <w:r>
        <w:t xml:space="preserve">Preparing the company for the fraud risk assessment is a critical element to ensuring its success. The culture of the </w:t>
      </w:r>
      <w:proofErr w:type="spellStart"/>
      <w:r>
        <w:t>organisation</w:t>
      </w:r>
      <w:proofErr w:type="spellEnd"/>
      <w:r>
        <w:t xml:space="preserve"> should play a large role in influencing the approach taken to prepare the company for the fraud risk assessment. The goals of the preparation should be to:  </w:t>
      </w:r>
    </w:p>
    <w:p w:rsidR="00CF1AED" w:rsidRDefault="00CF1AED" w:rsidP="00CF1AED">
      <w:pPr>
        <w:numPr>
          <w:ilvl w:val="0"/>
          <w:numId w:val="24"/>
        </w:numPr>
        <w:spacing w:after="318" w:line="259" w:lineRule="auto"/>
        <w:ind w:right="2" w:hanging="360"/>
        <w:jc w:val="both"/>
      </w:pPr>
      <w:r>
        <w:t xml:space="preserve">Assemble the right team to lead and conduct the fraud risk assessment.  </w:t>
      </w:r>
    </w:p>
    <w:p w:rsidR="00CF1AED" w:rsidRDefault="00CF1AED" w:rsidP="00CF1AED">
      <w:pPr>
        <w:numPr>
          <w:ilvl w:val="0"/>
          <w:numId w:val="24"/>
        </w:numPr>
        <w:spacing w:after="319" w:line="259" w:lineRule="auto"/>
        <w:ind w:right="2" w:hanging="360"/>
        <w:jc w:val="both"/>
      </w:pPr>
      <w:r>
        <w:t xml:space="preserve">Determine the best techniques to use in conducting the fraud risk assessment.  </w:t>
      </w:r>
    </w:p>
    <w:p w:rsidR="00CF1AED" w:rsidRDefault="00CF1AED" w:rsidP="00CF1AED">
      <w:pPr>
        <w:numPr>
          <w:ilvl w:val="0"/>
          <w:numId w:val="24"/>
        </w:numPr>
        <w:spacing w:after="192" w:line="367" w:lineRule="auto"/>
        <w:ind w:right="2" w:hanging="360"/>
        <w:jc w:val="both"/>
      </w:pPr>
      <w:r>
        <w:t xml:space="preserve">Obtain the sponsor's agreement on the work to be performed. .Educate the </w:t>
      </w:r>
      <w:proofErr w:type="spellStart"/>
      <w:r>
        <w:t>organisation</w:t>
      </w:r>
      <w:proofErr w:type="spellEnd"/>
      <w:r>
        <w:t xml:space="preserve"> and openly promote the process.  </w:t>
      </w:r>
    </w:p>
    <w:p w:rsidR="00CF1AED" w:rsidRDefault="00CF1AED" w:rsidP="00CF1AED">
      <w:pPr>
        <w:ind w:left="-5"/>
      </w:pPr>
      <w:r>
        <w:t xml:space="preserve">Assemble the Right Team to Lead and Conduct the Fraud Risk Assessment Before conducting the fraud risk assessment, the </w:t>
      </w:r>
      <w:proofErr w:type="spellStart"/>
      <w:r>
        <w:t>organisation</w:t>
      </w:r>
      <w:proofErr w:type="spellEnd"/>
      <w:r>
        <w:t xml:space="preserve"> should build a fraud risk assessment team consisting of individuals with diverse knowledge, skills, and perspectives that will lead and conduct the fraud risk assessment. The size of the team will depend on the size of the </w:t>
      </w:r>
      <w:proofErr w:type="spellStart"/>
      <w:r>
        <w:t>organisation</w:t>
      </w:r>
      <w:proofErr w:type="spellEnd"/>
      <w:r>
        <w:t xml:space="preserve"> and the methods used to conduct the assessment. The team members might include internal and external resources, such as:  </w:t>
      </w:r>
    </w:p>
    <w:p w:rsidR="00CF1AED" w:rsidRDefault="00CF1AED" w:rsidP="00CF1AED">
      <w:pPr>
        <w:numPr>
          <w:ilvl w:val="0"/>
          <w:numId w:val="24"/>
        </w:numPr>
        <w:spacing w:after="192" w:line="367" w:lineRule="auto"/>
        <w:ind w:right="2" w:hanging="360"/>
        <w:jc w:val="both"/>
      </w:pPr>
      <w:r>
        <w:t xml:space="preserve">Accounting and finance personnel who are familiar with the financial reporting processes and internal controls  </w:t>
      </w:r>
    </w:p>
    <w:p w:rsidR="00CF1AED" w:rsidRDefault="00CF1AED" w:rsidP="00CF1AED">
      <w:pPr>
        <w:numPr>
          <w:ilvl w:val="0"/>
          <w:numId w:val="24"/>
        </w:numPr>
        <w:spacing w:after="192" w:line="367" w:lineRule="auto"/>
        <w:ind w:right="2" w:hanging="360"/>
        <w:jc w:val="both"/>
      </w:pPr>
      <w:r>
        <w:t xml:space="preserve">Nonfinancial business unit and operations personnel who have knowledge of day- to-day operations, customer and vendor interactions, and issues within the industry  </w:t>
      </w:r>
    </w:p>
    <w:p w:rsidR="00CF1AED" w:rsidRDefault="00CF1AED" w:rsidP="00CF1AED">
      <w:pPr>
        <w:numPr>
          <w:ilvl w:val="0"/>
          <w:numId w:val="24"/>
        </w:numPr>
        <w:spacing w:after="192" w:line="367" w:lineRule="auto"/>
        <w:ind w:right="2" w:hanging="360"/>
        <w:jc w:val="both"/>
      </w:pPr>
      <w:r>
        <w:t xml:space="preserve">Risk management personnel who can ensure that the fraud risk assessment process integrates with the organization‘s enterprise risk management program  </w:t>
      </w:r>
    </w:p>
    <w:p w:rsidR="00CF1AED" w:rsidRDefault="00CF1AED" w:rsidP="00CF1AED">
      <w:pPr>
        <w:numPr>
          <w:ilvl w:val="0"/>
          <w:numId w:val="24"/>
        </w:numPr>
        <w:spacing w:after="318" w:line="259" w:lineRule="auto"/>
        <w:ind w:right="2" w:hanging="360"/>
        <w:jc w:val="both"/>
      </w:pPr>
      <w:r>
        <w:t xml:space="preserve">The general counselor other members of the legal department  </w:t>
      </w:r>
    </w:p>
    <w:p w:rsidR="00CF1AED" w:rsidRDefault="00CF1AED" w:rsidP="00CF1AED">
      <w:pPr>
        <w:numPr>
          <w:ilvl w:val="0"/>
          <w:numId w:val="24"/>
        </w:numPr>
        <w:spacing w:after="319" w:line="259" w:lineRule="auto"/>
        <w:ind w:right="2" w:hanging="360"/>
        <w:jc w:val="both"/>
      </w:pPr>
      <w:r>
        <w:t xml:space="preserve">Members of any ethics or compliance functions within the </w:t>
      </w:r>
      <w:proofErr w:type="spellStart"/>
      <w:r>
        <w:t>organisation</w:t>
      </w:r>
      <w:proofErr w:type="spellEnd"/>
      <w:r>
        <w:t xml:space="preserve"> .Internal auditors  </w:t>
      </w:r>
    </w:p>
    <w:p w:rsidR="00CF1AED" w:rsidRDefault="00CF1AED" w:rsidP="00CF1AED">
      <w:pPr>
        <w:numPr>
          <w:ilvl w:val="0"/>
          <w:numId w:val="24"/>
        </w:numPr>
        <w:spacing w:after="192" w:line="259" w:lineRule="auto"/>
        <w:ind w:right="2" w:hanging="360"/>
        <w:jc w:val="both"/>
      </w:pPr>
      <w:r>
        <w:t xml:space="preserve">External consultants with fraud and risk expertise  </w:t>
      </w:r>
    </w:p>
    <w:p w:rsidR="00CF1AED" w:rsidRDefault="00CF1AED" w:rsidP="00CF1AED">
      <w:pPr>
        <w:numPr>
          <w:ilvl w:val="0"/>
          <w:numId w:val="24"/>
        </w:numPr>
        <w:spacing w:after="192" w:line="367" w:lineRule="auto"/>
        <w:ind w:right="2" w:hanging="360"/>
        <w:jc w:val="both"/>
      </w:pPr>
      <w:r>
        <w:t xml:space="preserve">Any business leader with direct accountability for the effectiveness of the organization‘s fraud risk management efforts.  </w:t>
      </w:r>
    </w:p>
    <w:p w:rsidR="00CF1AED" w:rsidRDefault="00CF1AED" w:rsidP="00CF1AED">
      <w:pPr>
        <w:spacing w:after="306" w:line="265" w:lineRule="auto"/>
        <w:ind w:left="-5"/>
      </w:pPr>
      <w:r>
        <w:rPr>
          <w:rFonts w:ascii="Times New Roman" w:eastAsia="Times New Roman" w:hAnsi="Times New Roman" w:cs="Times New Roman"/>
          <w:b/>
        </w:rPr>
        <w:lastRenderedPageBreak/>
        <w:t xml:space="preserve">Determine the Best Techniques to Use to Conduct the Fraud Risk Assessment  </w:t>
      </w:r>
    </w:p>
    <w:p w:rsidR="00CF1AED" w:rsidRDefault="00CF1AED" w:rsidP="00CF1AED">
      <w:pPr>
        <w:ind w:left="-5"/>
      </w:pPr>
      <w:r>
        <w:t xml:space="preserve">There are many ways to go about conducting the' fraud risk assessment Picking a method or combination of methods that are culturally right for the </w:t>
      </w:r>
      <w:proofErr w:type="spellStart"/>
      <w:r>
        <w:t>organisation</w:t>
      </w:r>
      <w:proofErr w:type="spellEnd"/>
      <w:r>
        <w:t xml:space="preserve"> will help to ensure its success. The assessment team should also consider the best ways to gather rapid, truthful information from people throughout all levels of the </w:t>
      </w:r>
      <w:proofErr w:type="spellStart"/>
      <w:r>
        <w:t>organisation</w:t>
      </w:r>
      <w:proofErr w:type="spellEnd"/>
      <w:r>
        <w:t xml:space="preserve">, starting by understanding what techniques are commonly and effectively used throughout the </w:t>
      </w:r>
      <w:proofErr w:type="spellStart"/>
      <w:r>
        <w:t>organisation</w:t>
      </w:r>
      <w:proofErr w:type="spellEnd"/>
      <w:r>
        <w:t xml:space="preserve">.  </w:t>
      </w:r>
    </w:p>
    <w:p w:rsidR="00CF1AED" w:rsidRDefault="00CF1AED" w:rsidP="00CF1AED">
      <w:pPr>
        <w:spacing w:after="321" w:line="259" w:lineRule="auto"/>
        <w:ind w:left="-5"/>
      </w:pPr>
      <w:r>
        <w:t xml:space="preserve">Some examples of methods that can be used to conduct the fraud risk assessment are:  </w:t>
      </w:r>
    </w:p>
    <w:p w:rsidR="00CF1AED" w:rsidRDefault="00CF1AED" w:rsidP="00CF1AED">
      <w:pPr>
        <w:numPr>
          <w:ilvl w:val="0"/>
          <w:numId w:val="25"/>
        </w:numPr>
        <w:spacing w:after="321" w:line="259" w:lineRule="auto"/>
        <w:ind w:right="2" w:hanging="360"/>
        <w:jc w:val="both"/>
      </w:pPr>
      <w:r>
        <w:t xml:space="preserve">Interviews  </w:t>
      </w:r>
    </w:p>
    <w:p w:rsidR="00CF1AED" w:rsidRDefault="00CF1AED" w:rsidP="00CF1AED">
      <w:pPr>
        <w:numPr>
          <w:ilvl w:val="0"/>
          <w:numId w:val="25"/>
        </w:numPr>
        <w:spacing w:after="320" w:line="259" w:lineRule="auto"/>
        <w:ind w:right="2" w:hanging="360"/>
        <w:jc w:val="both"/>
      </w:pPr>
      <w:r>
        <w:t xml:space="preserve">Focus groups  </w:t>
      </w:r>
    </w:p>
    <w:p w:rsidR="00CF1AED" w:rsidRDefault="00CF1AED" w:rsidP="00CF1AED">
      <w:pPr>
        <w:numPr>
          <w:ilvl w:val="0"/>
          <w:numId w:val="25"/>
        </w:numPr>
        <w:spacing w:after="319" w:line="259" w:lineRule="auto"/>
        <w:ind w:right="2" w:hanging="360"/>
        <w:jc w:val="both"/>
      </w:pPr>
      <w:r>
        <w:t xml:space="preserve">Surveys  </w:t>
      </w:r>
    </w:p>
    <w:p w:rsidR="00CF1AED" w:rsidRDefault="00CF1AED" w:rsidP="00CF1AED">
      <w:pPr>
        <w:numPr>
          <w:ilvl w:val="0"/>
          <w:numId w:val="25"/>
        </w:numPr>
        <w:spacing w:after="319" w:line="259" w:lineRule="auto"/>
        <w:ind w:right="2" w:hanging="360"/>
        <w:jc w:val="both"/>
      </w:pPr>
      <w:r>
        <w:t xml:space="preserve">Anonymous feedback mechanisms  </w:t>
      </w:r>
    </w:p>
    <w:p w:rsidR="00CF1AED" w:rsidRDefault="00CF1AED" w:rsidP="00CF1AED">
      <w:pPr>
        <w:spacing w:after="306" w:line="265" w:lineRule="auto"/>
        <w:ind w:left="-5"/>
      </w:pPr>
      <w:r>
        <w:rPr>
          <w:rFonts w:ascii="Times New Roman" w:eastAsia="Times New Roman" w:hAnsi="Times New Roman" w:cs="Times New Roman"/>
          <w:b/>
        </w:rPr>
        <w:t xml:space="preserve">Interviews  </w:t>
      </w:r>
    </w:p>
    <w:p w:rsidR="00CF1AED" w:rsidRDefault="00CF1AED" w:rsidP="00CF1AED">
      <w:pPr>
        <w:ind w:left="-5"/>
      </w:pPr>
      <w:r>
        <w:t xml:space="preserve">Interviews can be an effective way to conduct a candid one-on-one conversation. The usefulness of interviews as a technique will depend on how willing people in the </w:t>
      </w:r>
      <w:proofErr w:type="spellStart"/>
      <w:r>
        <w:t>organisation</w:t>
      </w:r>
      <w:proofErr w:type="spellEnd"/>
      <w:r>
        <w:t xml:space="preserve"> are to be open and honest in a direct dialogue with the interviewer. The assessor must consider whether interviews are commonly and effectively used in the </w:t>
      </w:r>
      <w:proofErr w:type="spellStart"/>
      <w:r>
        <w:t>organisation</w:t>
      </w:r>
      <w:proofErr w:type="spellEnd"/>
      <w:r>
        <w:t xml:space="preserve"> to gather and elicit information. He should also speak with individuals that have previously conducted interviews with employees to glean lessons learned. For each potential interviewee, the assessor ~should gauge how likely and willing he would be to be open and honest some people may be good interview candidates, while others may need to be engaged through a different approach.  </w:t>
      </w:r>
    </w:p>
    <w:p w:rsidR="00CF1AED" w:rsidRDefault="00CF1AED" w:rsidP="00CF1AED">
      <w:pPr>
        <w:spacing w:after="306" w:line="265" w:lineRule="auto"/>
        <w:ind w:left="-5"/>
      </w:pPr>
      <w:r>
        <w:rPr>
          <w:rFonts w:ascii="Times New Roman" w:eastAsia="Times New Roman" w:hAnsi="Times New Roman" w:cs="Times New Roman"/>
          <w:b/>
        </w:rPr>
        <w:t xml:space="preserve">Focus Groups  </w:t>
      </w:r>
    </w:p>
    <w:p w:rsidR="00CF1AED" w:rsidRDefault="00CF1AED" w:rsidP="00CF1AED">
      <w:pPr>
        <w:ind w:left="-5"/>
      </w:pPr>
      <w:r>
        <w:t xml:space="preserve">Focus groups enable the assessor to observe the interactions of employees as they discuss a question or issue. Some topics may lend themselves to being discussed in an open forum in which people feel comfortable among their colleague$. Additionally, when discussing tough or thorny issues in a group, an anonymous, real-time voting tool can be an effective way of opening up a dialogue amongst the participants.  </w:t>
      </w:r>
    </w:p>
    <w:p w:rsidR="00CF1AED" w:rsidRDefault="00CF1AED" w:rsidP="00CF1AED">
      <w:pPr>
        <w:ind w:left="-5"/>
      </w:pPr>
      <w:r>
        <w:t xml:space="preserve">The success of a focus group will be highly dependent on the skill of the facilitator. If focus groups are used as part of the fraud risk assessment, they should be) and by an experienced facilitator whom the group will relate to and trust. Getting a group to open up and talk honestly can be very difficult. An experienced facilitator will be able to read the group and use techniques, such as group icebreakers, to make the session a success.  </w:t>
      </w:r>
    </w:p>
    <w:p w:rsidR="00CF1AED" w:rsidRDefault="00CF1AED" w:rsidP="00CF1AED">
      <w:pPr>
        <w:spacing w:after="306" w:line="265" w:lineRule="auto"/>
        <w:ind w:left="-5"/>
      </w:pPr>
      <w:r>
        <w:rPr>
          <w:rFonts w:ascii="Times New Roman" w:eastAsia="Times New Roman" w:hAnsi="Times New Roman" w:cs="Times New Roman"/>
          <w:b/>
        </w:rPr>
        <w:lastRenderedPageBreak/>
        <w:t xml:space="preserve">Surveys  </w:t>
      </w:r>
    </w:p>
    <w:p w:rsidR="00CF1AED" w:rsidRDefault="00CF1AED" w:rsidP="00CF1AED">
      <w:pPr>
        <w:ind w:left="-5"/>
      </w:pPr>
      <w:r>
        <w:t xml:space="preserve">Surveys can be anonymous or directly attributable to individuals. Sometimes people will share more openly when they feel protected behind a computer or paper questionnaire. In an </w:t>
      </w:r>
      <w:proofErr w:type="spellStart"/>
      <w:r>
        <w:t>organisation</w:t>
      </w:r>
      <w:proofErr w:type="spellEnd"/>
      <w:r>
        <w:t xml:space="preserve"> where the culture is not one where people pinup and freely talk, an anonymous survey can be a great way to get feedback. However, employees can be skeptical about the true anonymity of a survey, especially-in organizations that use surveys to solicit feedback anonymously but send follow-up to individual delinquent respondents. If the assessor determines that an anonymous survey is an appropriate technique to use in the fraud risk assessment, he should clearly and explicitly explain to employees how anonymity will be maintained.  </w:t>
      </w:r>
    </w:p>
    <w:p w:rsidR="00CF1AED" w:rsidRDefault="00CF1AED" w:rsidP="00CF1AED">
      <w:pPr>
        <w:spacing w:after="306" w:line="265" w:lineRule="auto"/>
        <w:ind w:left="-5"/>
      </w:pPr>
      <w:r>
        <w:rPr>
          <w:rFonts w:ascii="Times New Roman" w:eastAsia="Times New Roman" w:hAnsi="Times New Roman" w:cs="Times New Roman"/>
          <w:b/>
        </w:rPr>
        <w:t xml:space="preserve">Anonymous Feedback Mechanisms  </w:t>
      </w:r>
    </w:p>
    <w:p w:rsidR="00CF1AED" w:rsidRDefault="00CF1AED" w:rsidP="00CF1AED">
      <w:pPr>
        <w:ind w:left="-5"/>
      </w:pPr>
      <w:r>
        <w:t xml:space="preserve">In some organizations, anonymous suggestion boxes or similar mechanisms are used to encourage and solicit frequent employee feedback. In these companies, information pertaining to the fraud risk assessment can be requested in the same way. Additionally, use of an anonymous feedback mechanism can also be effective in an environment where people are less likely to be open and honest through other methods and techniques. .  </w:t>
      </w:r>
    </w:p>
    <w:p w:rsidR="00CF1AED" w:rsidRDefault="00CF1AED" w:rsidP="00CF1AED">
      <w:pPr>
        <w:ind w:left="-5"/>
      </w:pPr>
      <w:r>
        <w:t xml:space="preserve">One approach to effectively using the anonymous feedback technique involves establishing a question of the day that is prominently displayed above a collection box. An example question is: "If you thought fraud was occurring in the company would you come forward? Why or why not?"  </w:t>
      </w:r>
    </w:p>
    <w:p w:rsidR="00CF1AED" w:rsidRDefault="00CF1AED" w:rsidP="00CF1AED">
      <w:pPr>
        <w:ind w:left="-5"/>
      </w:pPr>
      <w:r>
        <w:t>Another approach involves using a table lineup office to ten opaque boxes, each with a statement posted above it</w:t>
      </w:r>
      <w:proofErr w:type="gramStart"/>
      <w:r>
        <w:t>..</w:t>
      </w:r>
      <w:proofErr w:type="gramEnd"/>
      <w:r>
        <w:t xml:space="preserve"> Employees are provided with poker chips in two different colors and told that one color indicates "I agree," and one indicates "I disagree</w:t>
      </w:r>
      <w:proofErr w:type="gramStart"/>
      <w:r>
        <w:t>.."</w:t>
      </w:r>
      <w:proofErr w:type="gramEnd"/>
      <w:r>
        <w:t xml:space="preserve"> Employees are then encouraged to respond to each statement by to putting a corresponding chip in each box to indicate their response.  </w:t>
      </w:r>
    </w:p>
    <w:p w:rsidR="00CF1AED" w:rsidRDefault="00CF1AED" w:rsidP="00CF1AED">
      <w:pPr>
        <w:spacing w:after="306" w:line="265" w:lineRule="auto"/>
        <w:ind w:left="-5"/>
      </w:pPr>
      <w:r>
        <w:rPr>
          <w:rFonts w:ascii="Times New Roman" w:eastAsia="Times New Roman" w:hAnsi="Times New Roman" w:cs="Times New Roman"/>
          <w:b/>
        </w:rPr>
        <w:t xml:space="preserve">Obtain the Sponsor's Agreement on the Work to be performed  </w:t>
      </w:r>
    </w:p>
    <w:p w:rsidR="00CF1AED" w:rsidRDefault="00CF1AED" w:rsidP="00CF1AED">
      <w:pPr>
        <w:ind w:left="-5"/>
      </w:pPr>
      <w:r>
        <w:t xml:space="preserve">Before the fraud risk assessment procedures begin, the sponsor and the fraud risk assessment team .need to agree on:  </w:t>
      </w:r>
    </w:p>
    <w:p w:rsidR="00CF1AED" w:rsidRDefault="00CF1AED" w:rsidP="00CF1AED">
      <w:pPr>
        <w:numPr>
          <w:ilvl w:val="0"/>
          <w:numId w:val="26"/>
        </w:numPr>
        <w:spacing w:after="318" w:line="259" w:lineRule="auto"/>
        <w:ind w:right="2" w:hanging="360"/>
        <w:jc w:val="both"/>
      </w:pPr>
      <w:r>
        <w:t xml:space="preserve">.The scope of work that will be performed  </w:t>
      </w:r>
    </w:p>
    <w:p w:rsidR="00CF1AED" w:rsidRDefault="00CF1AED" w:rsidP="00CF1AED">
      <w:pPr>
        <w:numPr>
          <w:ilvl w:val="0"/>
          <w:numId w:val="26"/>
        </w:numPr>
        <w:spacing w:after="192" w:line="367" w:lineRule="auto"/>
        <w:ind w:right="2" w:hanging="360"/>
        <w:jc w:val="both"/>
      </w:pPr>
      <w:r>
        <w:t xml:space="preserve">.The methods that will be used to conduct the work (e.g., surveys, interviews, focus groups, anonymous feedback mechanisms)  </w:t>
      </w:r>
    </w:p>
    <w:p w:rsidR="00CF1AED" w:rsidRDefault="00CF1AED" w:rsidP="00CF1AED">
      <w:pPr>
        <w:numPr>
          <w:ilvl w:val="0"/>
          <w:numId w:val="26"/>
        </w:numPr>
        <w:spacing w:after="192" w:line="367" w:lineRule="auto"/>
        <w:ind w:right="2" w:hanging="360"/>
        <w:jc w:val="both"/>
      </w:pPr>
      <w:r>
        <w:t xml:space="preserve">.The individuals who will participate in the chosen methods .The content of the chosen methods  </w:t>
      </w:r>
    </w:p>
    <w:p w:rsidR="00CF1AED" w:rsidRDefault="00CF1AED" w:rsidP="00CF1AED">
      <w:pPr>
        <w:numPr>
          <w:ilvl w:val="0"/>
          <w:numId w:val="26"/>
        </w:numPr>
        <w:spacing w:after="319" w:line="259" w:lineRule="auto"/>
        <w:ind w:right="2" w:hanging="360"/>
        <w:jc w:val="both"/>
      </w:pPr>
      <w:r>
        <w:t xml:space="preserve">.The form of output for the assessment  </w:t>
      </w:r>
    </w:p>
    <w:p w:rsidR="00CF1AED" w:rsidRDefault="00CF1AED" w:rsidP="00CF1AED">
      <w:pPr>
        <w:spacing w:after="306" w:line="265" w:lineRule="auto"/>
        <w:ind w:left="-5"/>
      </w:pPr>
      <w:r>
        <w:rPr>
          <w:rFonts w:ascii="Times New Roman" w:eastAsia="Times New Roman" w:hAnsi="Times New Roman" w:cs="Times New Roman"/>
          <w:b/>
        </w:rPr>
        <w:lastRenderedPageBreak/>
        <w:t xml:space="preserve">Educate the </w:t>
      </w:r>
      <w:r>
        <w:rPr>
          <w:rFonts w:ascii="Times New Roman" w:eastAsia="Times New Roman" w:hAnsi="Times New Roman" w:cs="Times New Roman"/>
          <w:b/>
        </w:rPr>
        <w:t>Organization</w:t>
      </w:r>
      <w:r>
        <w:rPr>
          <w:rFonts w:ascii="Times New Roman" w:eastAsia="Times New Roman" w:hAnsi="Times New Roman" w:cs="Times New Roman"/>
          <w:b/>
        </w:rPr>
        <w:t xml:space="preserve"> and Openly Promote the Process  </w:t>
      </w:r>
    </w:p>
    <w:p w:rsidR="00CF1AED" w:rsidRDefault="00CF1AED" w:rsidP="00CF1AED">
      <w:pPr>
        <w:ind w:left="-5"/>
      </w:pPr>
      <w:r>
        <w:t xml:space="preserve">The fraud risk assessment process should be visible and communicated throughout the business. Employees will be more inclined to participate in the process if they understand why it is being done and what the expected outcomes will be.  </w:t>
      </w:r>
    </w:p>
    <w:p w:rsidR="00CF1AED" w:rsidRDefault="00CF1AED" w:rsidP="00CF1AED">
      <w:pPr>
        <w:ind w:left="-5"/>
      </w:pPr>
      <w:r>
        <w:t xml:space="preserve">Sponsors should be strongly encouraged to openly promote the process. The more personalized the communication from the sponsor, the more effective it will be in encouraging employees to participate in the process. Whether it is a video, a town hall meeting, or e-mail, the communication should be aimed at eliminating any reluctance employees have about participating in the fraud risk assessment process.  </w:t>
      </w:r>
    </w:p>
    <w:p w:rsidR="00CF1AED" w:rsidRDefault="00CF1AED" w:rsidP="00CF1AED">
      <w:pPr>
        <w:spacing w:after="312" w:line="259" w:lineRule="auto"/>
      </w:pPr>
      <w:r>
        <w:rPr>
          <w:rFonts w:ascii="Times New Roman" w:eastAsia="Times New Roman" w:hAnsi="Times New Roman" w:cs="Times New Roman"/>
          <w:b/>
        </w:rPr>
        <w:t xml:space="preserve"> </w:t>
      </w:r>
    </w:p>
    <w:p w:rsidR="00CF1AED" w:rsidRDefault="00CF1AED" w:rsidP="00CF1AED">
      <w:pPr>
        <w:spacing w:after="0" w:line="259" w:lineRule="auto"/>
      </w:pPr>
      <w:r>
        <w:rPr>
          <w:rFonts w:ascii="Times New Roman" w:eastAsia="Times New Roman" w:hAnsi="Times New Roman" w:cs="Times New Roman"/>
          <w:b/>
        </w:rPr>
        <w:t xml:space="preserve"> </w:t>
      </w:r>
    </w:p>
    <w:p w:rsidR="00CF1AED" w:rsidRDefault="00CF1AED" w:rsidP="00CF1AED">
      <w:pPr>
        <w:spacing w:after="306" w:line="265" w:lineRule="auto"/>
        <w:ind w:left="-5"/>
      </w:pPr>
      <w:r>
        <w:rPr>
          <w:rFonts w:ascii="Times New Roman" w:eastAsia="Times New Roman" w:hAnsi="Times New Roman" w:cs="Times New Roman"/>
          <w:b/>
        </w:rPr>
        <w:t xml:space="preserve">Executing the Fraud Risk Assessment  </w:t>
      </w:r>
    </w:p>
    <w:p w:rsidR="00CF1AED" w:rsidRDefault="00CF1AED" w:rsidP="00CF1AED">
      <w:pPr>
        <w:spacing w:after="0"/>
        <w:ind w:left="-5"/>
      </w:pPr>
      <w:r>
        <w:t xml:space="preserve">The execution of the fraud risk assessment can be approached in many ways. The approach should be tailored to the </w:t>
      </w:r>
      <w:r>
        <w:t>organization</w:t>
      </w:r>
      <w:r>
        <w:t xml:space="preserve">, but should be structured and rational to ensure its success. </w:t>
      </w:r>
    </w:p>
    <w:p w:rsidR="00CF1AED" w:rsidRDefault="00CF1AED" w:rsidP="00CF1AED">
      <w:pPr>
        <w:spacing w:after="319" w:line="259" w:lineRule="auto"/>
        <w:ind w:left="-5"/>
      </w:pPr>
      <w:r>
        <w:t xml:space="preserve">"  </w:t>
      </w:r>
    </w:p>
    <w:p w:rsidR="00CF1AED" w:rsidRDefault="00CF1AED" w:rsidP="00CF1AED">
      <w:pPr>
        <w:spacing w:after="306" w:line="265" w:lineRule="auto"/>
        <w:ind w:left="-5"/>
      </w:pPr>
      <w:r>
        <w:rPr>
          <w:rFonts w:ascii="Times New Roman" w:eastAsia="Times New Roman" w:hAnsi="Times New Roman" w:cs="Times New Roman"/>
          <w:b/>
        </w:rPr>
        <w:t xml:space="preserve">Choosing a Framework  </w:t>
      </w:r>
    </w:p>
    <w:p w:rsidR="00CF1AED" w:rsidRDefault="00CF1AED" w:rsidP="00CF1AED">
      <w:pPr>
        <w:ind w:left="-5"/>
      </w:pPr>
      <w:r>
        <w:t xml:space="preserve">When conducting a fraud risk assessment, it is helpful to use a framework for </w:t>
      </w:r>
      <w:r>
        <w:t>performing</w:t>
      </w:r>
      <w:r>
        <w:t xml:space="preserve">, evaluating, and reporting on the results of the work. Fraud risk can be analyzed and reported both qualitatively and quantitatively using a consistent framework.  </w:t>
      </w:r>
    </w:p>
    <w:p w:rsidR="00CF1AED" w:rsidRDefault="00CF1AED" w:rsidP="00CF1AED">
      <w:pPr>
        <w:spacing w:after="231"/>
        <w:ind w:left="-5"/>
      </w:pPr>
      <w:r>
        <w:t xml:space="preserve">The following sample fraud risk assessment frameworks illustrate how the elements of fraud risk assessment are applied under different approaches.  </w:t>
      </w:r>
    </w:p>
    <w:p w:rsidR="00CF1AED" w:rsidRPr="002F1840" w:rsidRDefault="00CF1AED" w:rsidP="007F3C23">
      <w:pPr>
        <w:pStyle w:val="ListParagraph"/>
        <w:spacing w:after="0"/>
        <w:ind w:left="0"/>
        <w:jc w:val="both"/>
        <w:rPr>
          <w:rFonts w:ascii="Book Antiqua" w:hAnsi="Book Antiqua"/>
          <w:b/>
          <w:bCs/>
          <w:sz w:val="28"/>
          <w:szCs w:val="28"/>
        </w:rPr>
      </w:pPr>
    </w:p>
    <w:p w:rsidR="00D81504" w:rsidRPr="002F1840" w:rsidRDefault="00D81504" w:rsidP="00D81504">
      <w:pPr>
        <w:spacing w:after="0"/>
        <w:rPr>
          <w:rFonts w:ascii="Book Antiqua" w:hAnsi="Book Antiqua"/>
          <w:bCs/>
          <w:sz w:val="24"/>
          <w:szCs w:val="24"/>
        </w:rPr>
      </w:pPr>
    </w:p>
    <w:p w:rsidR="00D81504" w:rsidRPr="00CF1AED" w:rsidRDefault="00D81504" w:rsidP="00D81504">
      <w:pPr>
        <w:spacing w:after="0"/>
        <w:rPr>
          <w:rFonts w:ascii="Book Antiqua" w:hAnsi="Book Antiqua"/>
          <w:b/>
          <w:bCs/>
          <w:sz w:val="28"/>
          <w:szCs w:val="28"/>
        </w:rPr>
      </w:pPr>
      <w:r w:rsidRPr="002F1840">
        <w:rPr>
          <w:rFonts w:ascii="Book Antiqua" w:hAnsi="Book Antiqua"/>
          <w:b/>
          <w:bCs/>
          <w:sz w:val="28"/>
          <w:szCs w:val="28"/>
        </w:rPr>
        <w:t xml:space="preserve">Question. 2 </w:t>
      </w:r>
    </w:p>
    <w:p w:rsidR="00D81504" w:rsidRDefault="007A68AD" w:rsidP="007F3C23">
      <w:pPr>
        <w:spacing w:after="0"/>
        <w:jc w:val="both"/>
        <w:rPr>
          <w:rFonts w:ascii="Book Antiqua" w:hAnsi="Book Antiqua"/>
          <w:b/>
          <w:bCs/>
          <w:sz w:val="20"/>
          <w:szCs w:val="20"/>
        </w:rPr>
      </w:pPr>
      <w:r w:rsidRPr="002F1840">
        <w:rPr>
          <w:rFonts w:ascii="Book Antiqua" w:hAnsi="Book Antiqua" w:cs="Times New Roman,Bold"/>
          <w:bCs/>
          <w:sz w:val="24"/>
          <w:szCs w:val="24"/>
          <w:lang w:val="en-GB"/>
        </w:rPr>
        <w:t>Discuss the Auditor’s Liability in referenc</w:t>
      </w:r>
      <w:r w:rsidRPr="002F1840">
        <w:rPr>
          <w:rFonts w:ascii="Book Antiqua" w:hAnsi="Book Antiqua" w:cs="Times New Roman"/>
          <w:bCs/>
          <w:sz w:val="24"/>
          <w:szCs w:val="24"/>
          <w:lang w:val="en-GB"/>
        </w:rPr>
        <w:t>e to Fraud.</w:t>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b/>
          <w:sz w:val="24"/>
          <w:szCs w:val="24"/>
        </w:rPr>
        <w:t xml:space="preserve">                        </w:t>
      </w:r>
      <w:r w:rsidR="007B2D54" w:rsidRPr="007F3C23">
        <w:rPr>
          <w:rFonts w:ascii="Book Antiqua" w:hAnsi="Book Antiqua"/>
          <w:b/>
          <w:bCs/>
          <w:sz w:val="20"/>
          <w:szCs w:val="20"/>
        </w:rPr>
        <w:t>(20</w:t>
      </w:r>
      <w:r w:rsidR="00D81504" w:rsidRPr="007F3C23">
        <w:rPr>
          <w:rFonts w:ascii="Book Antiqua" w:hAnsi="Book Antiqua"/>
          <w:b/>
          <w:bCs/>
          <w:sz w:val="20"/>
          <w:szCs w:val="20"/>
        </w:rPr>
        <w:t xml:space="preserve"> Marks)</w:t>
      </w:r>
    </w:p>
    <w:p w:rsidR="00CF1AED" w:rsidRDefault="00CF1AED" w:rsidP="007F3C23">
      <w:pPr>
        <w:spacing w:after="0"/>
        <w:jc w:val="both"/>
        <w:rPr>
          <w:rFonts w:ascii="Book Antiqua" w:hAnsi="Book Antiqua"/>
          <w:b/>
          <w:bCs/>
          <w:sz w:val="20"/>
          <w:szCs w:val="20"/>
        </w:rPr>
      </w:pPr>
    </w:p>
    <w:p w:rsidR="00CF1AED" w:rsidRDefault="00CF1AED" w:rsidP="00CF1AED">
      <w:pPr>
        <w:ind w:left="-5"/>
      </w:pPr>
      <w:r>
        <w:t xml:space="preserve">Financial auditors who audit public companies are the most common group of auditors and the group most often discussed in terms of auditor liability. While internal, fraud, and outsourced/consulting auditors face similar issues and share the same liability in some cases, differences do exist. The requirements for audits of public companies are mandated at a higher level by federal laws and legally enforceable regulatory standards. In this chapter, financial auditors conducting audits of public companies (also known as external or independent auditors or public accountants), or organizations </w:t>
      </w:r>
      <w:r>
        <w:lastRenderedPageBreak/>
        <w:t xml:space="preserve">otherwise subject to the regulations discussed, are the principal focus of discussion. Auditor liability has never been a crystal-clear issue to the public, regulators, or even auditors themselves. Some of the more notable reasons are the amount of judgment and expertise involved in accounting and auditing, public misconceptions, political influence, constantly changing requirements, the substantive and sampling nature of audits, and other environmental factors. Lawmakers and regulators have tried to establish liability definitively in practical terms, but the task isn‘t an easy one. Financial auditors (internal and external) may still been doubt as to the extent of their legal and professional responsibility for fraud detection when conducting financial audits. Numerous laws and regulatory standards have been put in place in a relatively short period of time and are still maturing. Auditors implementing these requirements will adjust, learn, and become more proficient over time, but now they are still learning both how recent regulations work in practice and the boundaries of their liability. </w:t>
      </w:r>
    </w:p>
    <w:p w:rsidR="00CF1AED" w:rsidRDefault="00CF1AED" w:rsidP="00CF1AED">
      <w:pPr>
        <w:ind w:left="-5"/>
      </w:pPr>
      <w:r>
        <w:t xml:space="preserve">The general public, as opposed to financial auditors, does not seem to have any doubts about auditor liability, nor do the courts. There is a growing public perception that auditors, by the nature of their education, intuition, and work experience, can and should be able to sniff out fraud wherever and whenever it exists in financial records and/or data. That standard is far higher than anyone in the audit professions has ever advocated or thought reasonably possible. No auditor could ever live up to such a strict standard of care. Nor could any auditor afford the premiums for professional liability insurance if the public‘s perception of the standard became a legal reality.  </w:t>
      </w:r>
    </w:p>
    <w:p w:rsidR="00CF1AED" w:rsidRDefault="00CF1AED" w:rsidP="00CF1AED">
      <w:pPr>
        <w:spacing w:after="0" w:line="259" w:lineRule="auto"/>
      </w:pPr>
      <w:r>
        <w:t xml:space="preserve"> </w:t>
      </w:r>
    </w:p>
    <w:p w:rsidR="00CF1AED" w:rsidRDefault="00CF1AED" w:rsidP="00CF1AED">
      <w:pPr>
        <w:ind w:left="-5"/>
      </w:pPr>
      <w:r>
        <w:t xml:space="preserve">The public‘s perception of auditor responsibility for fraud detection is highly unrealistic and contributes to what is commonly known as the expectations gap. The expectations gap is the difference between what the public thinks a financial audit is and what financial audits really are. Part of the gap stems from a lack of transparency on the part of auditors and audit regulators, who need to educate the public better about the process and content of financial audits, accounting principles and rules, and financial reporting and disclosures. The public‘s part of the gap is mostly out of uneducated misconceptions. Few people know that financial statement audits are aimed at providing reasonable assurance as to whether a material misstatement in the financial statement exists or not and whether financial transactions are recorded and financial statements are presented inconformity with generally accepted accounting principles (GAAP) or not. That language is nearly synonymous with the financial audit ―opinions‖ issued for financial statement audits mandated by generally accepted auditing standards (GAAS) as promulgated by the American Institute of Certified Public Accountants (AICPA). In addition, GAAS states that the ―The auditor has a responsibility to planed perform the audit to obtain reasonable assurance about whether the financial statements are free of material misstatement, whether caused by error or fraud.‖ </w:t>
      </w:r>
    </w:p>
    <w:p w:rsidR="00CF1AED" w:rsidRDefault="00CF1AED" w:rsidP="00CF1AED">
      <w:pPr>
        <w:ind w:left="-5"/>
      </w:pPr>
      <w:r>
        <w:t xml:space="preserve"> The public simply assumes that fraud should be caught in a financial audit. Although that is not a false statement, it is not a true one either. Outside of the aforementioned misconception about the purpose of financial statements, the process and procedures within a financial audit are also misunderstood. Financial auditors, to some extent, rely on management‘s (or otherwise the entity‘s) representations; it </w:t>
      </w:r>
      <w:r>
        <w:lastRenderedPageBreak/>
        <w:t xml:space="preserve">is impractical and would be unreasonable for auditors to try to absolutely, perfectly, unquestionably determine whether financial statements were accurate and in compliance with regulations. Also, financial audits occur mostly after the end of the period being audited (although notably the trend is for more audit work to be done within the period). As with other crimes, the more time that goes by after a fraud has been committed, the harder it is to catch. Audit procedures traditionally have not directly targeted fraud, although that is changing. The changes mainly stem from two new regulations. </w:t>
      </w:r>
    </w:p>
    <w:p w:rsidR="00CF1AED" w:rsidRDefault="00CF1AED" w:rsidP="00CF1AED">
      <w:pPr>
        <w:pStyle w:val="Heading2"/>
        <w:ind w:left="-5"/>
      </w:pPr>
      <w:r>
        <w:t xml:space="preserve">Increased Auditor Liability </w:t>
      </w:r>
    </w:p>
    <w:p w:rsidR="00CF1AED" w:rsidRDefault="00CF1AED" w:rsidP="00CF1AED">
      <w:pPr>
        <w:spacing w:after="112" w:line="259" w:lineRule="auto"/>
        <w:ind w:left="-5"/>
      </w:pPr>
      <w:r>
        <w:t xml:space="preserve"> Growing concern and expectation of the public and Congress culminated in the advent of the </w:t>
      </w:r>
    </w:p>
    <w:p w:rsidR="00CF1AED" w:rsidRDefault="00CF1AED" w:rsidP="00CF1AED">
      <w:pPr>
        <w:spacing w:after="227"/>
        <w:ind w:left="-5"/>
      </w:pPr>
      <w:r>
        <w:t xml:space="preserve">Sarbanes-Oxley Act of 2002 (SOX) and the adoption of Statement on Auditing Standard (SAS) No. 99, </w:t>
      </w:r>
    </w:p>
    <w:p w:rsidR="00CF1AED" w:rsidRDefault="00CF1AED" w:rsidP="00CF1AED">
      <w:pPr>
        <w:pStyle w:val="Heading2"/>
        <w:ind w:left="-5"/>
      </w:pPr>
      <w:r>
        <w:t xml:space="preserve"> Consideration of Fraud in a Financial Statement Audit</w:t>
      </w:r>
      <w:r>
        <w:rPr>
          <w:rFonts w:ascii="Times New Roman" w:eastAsia="Times New Roman" w:hAnsi="Times New Roman" w:cs="Times New Roman"/>
          <w:sz w:val="24"/>
        </w:rPr>
        <w:t xml:space="preserve"> </w:t>
      </w:r>
      <w:r>
        <w:t xml:space="preserve"> </w:t>
      </w:r>
    </w:p>
    <w:p w:rsidR="00CF1AED" w:rsidRDefault="00CF1AED" w:rsidP="00CF1AED">
      <w:pPr>
        <w:spacing w:after="0"/>
        <w:ind w:left="-5"/>
      </w:pPr>
      <w:r>
        <w:t xml:space="preserve">Since those documents were put in place, even more attention has been brought on the issue of auditors detecting fraud, and of course more technical guidance has been provided for financial auditors. SOX address the financial auditor‘s responsibility to detect fraud in direct and indirect tenets. Indirectly, for example, the Public Companies Accounting Oversight Board (PCAOB) was created in reaction to public and congressional perception that large financial frauds had happened while being audited by large financial audit firms that were not performing their professional duties appropriately and that were not being properly regulated by the AICPA. </w:t>
      </w:r>
    </w:p>
    <w:p w:rsidR="00CF1AED" w:rsidRDefault="00CF1AED" w:rsidP="00CF1AED">
      <w:pPr>
        <w:ind w:left="-5"/>
      </w:pPr>
      <w:r>
        <w:t xml:space="preserve">These aspects of SOX and PCAOB lead us to believe that the PCAOB‘s creation was a simultaneous reaction with SOX: </w:t>
      </w:r>
    </w:p>
    <w:p w:rsidR="00CF1AED" w:rsidRDefault="00CF1AED" w:rsidP="00CF1AED">
      <w:pPr>
        <w:numPr>
          <w:ilvl w:val="0"/>
          <w:numId w:val="27"/>
        </w:numPr>
        <w:spacing w:after="192" w:line="367" w:lineRule="auto"/>
        <w:ind w:right="2" w:hanging="360"/>
        <w:jc w:val="both"/>
      </w:pPr>
      <w:r>
        <w:t xml:space="preserve">The PCAOB answers directly to the Securities and Exchange Commission (SEC). Prior to the passage of SOX, the Financial Accounting Standards Board (FASB) and the American Institute of Certified Public Accountants (AICPA) were delegated authority under the SEC, but did not report directly to the SEC. </w:t>
      </w:r>
    </w:p>
    <w:p w:rsidR="00CF1AED" w:rsidRDefault="00CF1AED" w:rsidP="00CF1AED">
      <w:pPr>
        <w:numPr>
          <w:ilvl w:val="0"/>
          <w:numId w:val="27"/>
        </w:numPr>
        <w:spacing w:after="192" w:line="367" w:lineRule="auto"/>
        <w:ind w:right="2" w:hanging="360"/>
        <w:jc w:val="both"/>
      </w:pPr>
      <w:r>
        <w:t xml:space="preserve">An examination of the quality of audits of SEC firms now is per-formed periodically not only by peers (other public accounting firms in a peer review) but also by the PCAOB. </w:t>
      </w:r>
    </w:p>
    <w:p w:rsidR="00CF1AED" w:rsidRDefault="00CF1AED" w:rsidP="00CF1AED">
      <w:pPr>
        <w:spacing w:after="228"/>
        <w:ind w:left="-5"/>
      </w:pPr>
      <w:r>
        <w:t xml:space="preserve"> In order to conduct financial audits of SEC companies, a financial audit firm must be registered with the PCAOB. The members of the PCAOB are not all CPAs; two of them can-not be CPAs or former CPAs. All members of the FASB, the practical authority for accounting standards, have been CPAs or former </w:t>
      </w:r>
      <w:proofErr w:type="spellStart"/>
      <w:r>
        <w:t>CPAs.All</w:t>
      </w:r>
      <w:proofErr w:type="spellEnd"/>
      <w:r>
        <w:t xml:space="preserve"> of these aspects point to two main regulatory changes: a tighter link of control between the law and the entities under the law and independent supervision and </w:t>
      </w:r>
      <w:proofErr w:type="spellStart"/>
      <w:r>
        <w:t>monitoring.SOX</w:t>
      </w:r>
      <w:proofErr w:type="spellEnd"/>
      <w:r>
        <w:t xml:space="preserve"> and SAS No. 99 have increased the expectation that auditors will detect fraud; auditor liability has also increased. By definition, auditors are now held liable for SOX and SAS No. 99 requirements, both of which explicitly or implicitly imply that auditors must consider fraud and must perform specific procedures to detect fraud.  </w:t>
      </w:r>
    </w:p>
    <w:p w:rsidR="00CF1AED" w:rsidRPr="002F1840" w:rsidRDefault="00CF1AED" w:rsidP="007F3C23">
      <w:pPr>
        <w:spacing w:after="0"/>
        <w:jc w:val="both"/>
        <w:rPr>
          <w:rFonts w:ascii="Book Antiqua" w:hAnsi="Book Antiqua"/>
          <w:b/>
          <w:bCs/>
          <w:sz w:val="28"/>
          <w:szCs w:val="28"/>
        </w:rPr>
      </w:pPr>
    </w:p>
    <w:p w:rsidR="00D81504" w:rsidRPr="002F1840" w:rsidRDefault="00D81504" w:rsidP="00D81504">
      <w:pPr>
        <w:spacing w:after="0"/>
        <w:rPr>
          <w:rFonts w:ascii="Book Antiqua" w:hAnsi="Book Antiqua"/>
          <w:bCs/>
          <w:sz w:val="24"/>
          <w:szCs w:val="24"/>
        </w:rPr>
      </w:pPr>
    </w:p>
    <w:p w:rsidR="00D81504" w:rsidRPr="002F1840" w:rsidRDefault="00D81504" w:rsidP="00D81504">
      <w:pPr>
        <w:spacing w:after="0"/>
        <w:rPr>
          <w:rFonts w:ascii="Book Antiqua" w:hAnsi="Book Antiqua"/>
          <w:b/>
          <w:bCs/>
          <w:sz w:val="28"/>
          <w:szCs w:val="28"/>
        </w:rPr>
      </w:pPr>
      <w:r w:rsidRPr="002F1840">
        <w:rPr>
          <w:rFonts w:ascii="Book Antiqua" w:hAnsi="Book Antiqua"/>
          <w:b/>
          <w:bCs/>
          <w:sz w:val="28"/>
          <w:szCs w:val="28"/>
        </w:rPr>
        <w:t xml:space="preserve">Question. 3. </w:t>
      </w:r>
    </w:p>
    <w:p w:rsidR="00D81504" w:rsidRPr="002F1840" w:rsidRDefault="00D81504" w:rsidP="00D81504">
      <w:pPr>
        <w:spacing w:after="0"/>
        <w:rPr>
          <w:rFonts w:ascii="Book Antiqua" w:hAnsi="Book Antiqua"/>
          <w:bCs/>
          <w:sz w:val="24"/>
          <w:szCs w:val="24"/>
        </w:rPr>
      </w:pPr>
    </w:p>
    <w:p w:rsidR="007A68AD" w:rsidRPr="002F1840" w:rsidRDefault="007A68AD" w:rsidP="007F3C23">
      <w:pPr>
        <w:autoSpaceDE w:val="0"/>
        <w:autoSpaceDN w:val="0"/>
        <w:adjustRightInd w:val="0"/>
        <w:spacing w:after="0" w:line="240" w:lineRule="auto"/>
        <w:jc w:val="both"/>
        <w:rPr>
          <w:rFonts w:ascii="Book Antiqua" w:hAnsi="Book Antiqua" w:cs="Times New Roman"/>
          <w:bCs/>
          <w:sz w:val="24"/>
          <w:szCs w:val="24"/>
          <w:lang w:val="en-GB"/>
        </w:rPr>
      </w:pPr>
      <w:r w:rsidRPr="002F1840">
        <w:rPr>
          <w:rFonts w:ascii="Book Antiqua" w:hAnsi="Book Antiqua" w:cs="Times New Roman"/>
          <w:bCs/>
          <w:sz w:val="24"/>
          <w:szCs w:val="24"/>
          <w:lang w:val="en-GB"/>
        </w:rPr>
        <w:t xml:space="preserve">What </w:t>
      </w:r>
      <w:r w:rsidR="007E1262">
        <w:rPr>
          <w:rFonts w:ascii="Book Antiqua" w:hAnsi="Book Antiqua" w:cs="Times New Roman"/>
          <w:bCs/>
          <w:sz w:val="24"/>
          <w:szCs w:val="24"/>
          <w:lang w:val="en-GB"/>
        </w:rPr>
        <w:t xml:space="preserve">do </w:t>
      </w:r>
      <w:r w:rsidRPr="002F1840">
        <w:rPr>
          <w:rFonts w:ascii="Book Antiqua" w:hAnsi="Book Antiqua" w:cs="Times New Roman"/>
          <w:bCs/>
          <w:sz w:val="24"/>
          <w:szCs w:val="24"/>
          <w:lang w:val="en-GB"/>
        </w:rPr>
        <w:t xml:space="preserve">you mean by Opinion </w:t>
      </w:r>
      <w:r w:rsidR="007E1262" w:rsidRPr="002F1840">
        <w:rPr>
          <w:rFonts w:ascii="Book Antiqua" w:hAnsi="Book Antiqua" w:cs="Times New Roman"/>
          <w:bCs/>
          <w:sz w:val="24"/>
          <w:szCs w:val="24"/>
          <w:lang w:val="en-GB"/>
        </w:rPr>
        <w:t>Testimony?</w:t>
      </w:r>
      <w:r w:rsidRPr="002F1840">
        <w:rPr>
          <w:rFonts w:ascii="Book Antiqua" w:hAnsi="Book Antiqua" w:cs="Times New Roman"/>
          <w:bCs/>
          <w:sz w:val="24"/>
          <w:szCs w:val="24"/>
          <w:lang w:val="en-GB"/>
        </w:rPr>
        <w:t xml:space="preserve"> Also explain the</w:t>
      </w:r>
    </w:p>
    <w:p w:rsidR="00D81504" w:rsidRPr="007F3C23" w:rsidRDefault="007A68AD" w:rsidP="007F3C23">
      <w:pPr>
        <w:spacing w:after="0"/>
        <w:jc w:val="both"/>
        <w:rPr>
          <w:rFonts w:ascii="Book Antiqua" w:hAnsi="Book Antiqua"/>
          <w:b/>
          <w:bCs/>
          <w:sz w:val="20"/>
          <w:szCs w:val="20"/>
        </w:rPr>
      </w:pPr>
      <w:r w:rsidRPr="002F1840">
        <w:rPr>
          <w:rFonts w:ascii="Book Antiqua" w:hAnsi="Book Antiqua" w:cs="Times New Roman"/>
          <w:bCs/>
          <w:sz w:val="24"/>
          <w:szCs w:val="24"/>
          <w:lang w:val="en-GB"/>
        </w:rPr>
        <w:t>Exceptions to the opinion Rule.</w:t>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sz w:val="24"/>
          <w:szCs w:val="24"/>
        </w:rPr>
        <w:tab/>
      </w:r>
      <w:r w:rsidRPr="002F1840">
        <w:rPr>
          <w:rFonts w:ascii="Book Antiqua" w:hAnsi="Book Antiqua"/>
          <w:b/>
          <w:sz w:val="28"/>
          <w:szCs w:val="28"/>
        </w:rPr>
        <w:t xml:space="preserve"> </w:t>
      </w:r>
      <w:r w:rsidR="007B2D54" w:rsidRPr="007F3C23">
        <w:rPr>
          <w:rFonts w:ascii="Book Antiqua" w:hAnsi="Book Antiqua"/>
          <w:b/>
          <w:bCs/>
          <w:sz w:val="20"/>
          <w:szCs w:val="20"/>
        </w:rPr>
        <w:t>(20</w:t>
      </w:r>
      <w:r w:rsidR="00D81504" w:rsidRPr="007F3C23">
        <w:rPr>
          <w:rFonts w:ascii="Book Antiqua" w:hAnsi="Book Antiqua"/>
          <w:b/>
          <w:bCs/>
          <w:sz w:val="20"/>
          <w:szCs w:val="20"/>
        </w:rPr>
        <w:t xml:space="preserve"> Marks)</w:t>
      </w:r>
    </w:p>
    <w:p w:rsidR="00D81504" w:rsidRDefault="00D81504" w:rsidP="00D81504">
      <w:pPr>
        <w:spacing w:after="0"/>
        <w:rPr>
          <w:rFonts w:ascii="Book Antiqua" w:hAnsi="Book Antiqua"/>
          <w:bCs/>
          <w:sz w:val="24"/>
          <w:szCs w:val="24"/>
        </w:rPr>
      </w:pPr>
    </w:p>
    <w:p w:rsidR="00033C9D" w:rsidRDefault="00033C9D" w:rsidP="00D81504">
      <w:pPr>
        <w:spacing w:after="0"/>
        <w:rPr>
          <w:rFonts w:ascii="Book Antiqua" w:hAnsi="Book Antiqua"/>
          <w:bCs/>
          <w:sz w:val="24"/>
          <w:szCs w:val="24"/>
        </w:rPr>
      </w:pPr>
    </w:p>
    <w:p w:rsidR="00033C9D" w:rsidRDefault="00033C9D" w:rsidP="00033C9D">
      <w:pPr>
        <w:pStyle w:val="Heading2"/>
        <w:spacing w:after="169"/>
        <w:ind w:left="-5"/>
      </w:pPr>
      <w:r>
        <w:t xml:space="preserve">Opinion Testimony  </w:t>
      </w:r>
    </w:p>
    <w:p w:rsidR="00033C9D" w:rsidRDefault="00033C9D" w:rsidP="00033C9D">
      <w:pPr>
        <w:spacing w:after="179" w:line="310" w:lineRule="auto"/>
        <w:ind w:left="-5"/>
      </w:pPr>
      <w:r>
        <w:t xml:space="preserve">Generally, lay (i.e., non-expert) witnesses are only allowed to testify about what they have actually experienced firsthand, and their factual observations. Witnesses provide a report on what they know, and keep their opinions and conclusions to themselves.  </w:t>
      </w:r>
    </w:p>
    <w:p w:rsidR="00033C9D" w:rsidRDefault="00033C9D" w:rsidP="00033C9D">
      <w:pPr>
        <w:pStyle w:val="Heading2"/>
        <w:spacing w:after="142"/>
        <w:ind w:left="-5"/>
      </w:pPr>
      <w:r>
        <w:t xml:space="preserve">Exceptions to the Opinion Rule  </w:t>
      </w:r>
    </w:p>
    <w:p w:rsidR="00033C9D" w:rsidRDefault="00033C9D" w:rsidP="00033C9D">
      <w:pPr>
        <w:spacing w:after="179" w:line="265" w:lineRule="auto"/>
        <w:ind w:left="-5"/>
      </w:pPr>
      <w:r>
        <w:rPr>
          <w:rFonts w:ascii="Times New Roman" w:eastAsia="Times New Roman" w:hAnsi="Times New Roman" w:cs="Times New Roman"/>
          <w:b/>
        </w:rPr>
        <w:t xml:space="preserve">NON; EXPERT WITNESSES  </w:t>
      </w:r>
    </w:p>
    <w:p w:rsidR="00033C9D" w:rsidRDefault="00033C9D" w:rsidP="00033C9D">
      <w:pPr>
        <w:spacing w:after="218"/>
        <w:ind w:left="-5"/>
      </w:pPr>
      <w:r>
        <w:t xml:space="preserve">Despite the general rule, there are ways to get a non-expert witness's opinion into the record. For example, an employee at a securities f1rtn blows the whistle on his superiors for a high- level stock fraud. Defense suggests the investigation was an invasion of privacy, Prosecutors are justifying their secret eight month investigation on the basis of the whistleblower's tip, </w:t>
      </w:r>
      <w:proofErr w:type="gramStart"/>
      <w:r>
        <w:t>the</w:t>
      </w:r>
      <w:proofErr w:type="gramEnd"/>
      <w:r>
        <w:t xml:space="preserve"> prosecution will enter the whistler's "opinion" and his suspicions of fraud to show that the government was justified in conducting its investigation. In this case, the opinion is admissible; however, the reason it is allowed in is not to show that management is guilty, but to show what prompted the investigation.  </w:t>
      </w:r>
    </w:p>
    <w:p w:rsidR="00033C9D" w:rsidRDefault="00033C9D" w:rsidP="00033C9D">
      <w:pPr>
        <w:spacing w:after="166" w:line="259" w:lineRule="auto"/>
        <w:ind w:left="-5"/>
      </w:pPr>
      <w:r>
        <w:rPr>
          <w:rFonts w:ascii="Cambria" w:eastAsia="Cambria" w:hAnsi="Cambria" w:cs="Cambria"/>
          <w:b/>
          <w:color w:val="4F81BD"/>
          <w:sz w:val="26"/>
        </w:rPr>
        <w:t xml:space="preserve">Opinions are admissible if they pass a three-part test:  </w:t>
      </w:r>
    </w:p>
    <w:p w:rsidR="00033C9D" w:rsidRDefault="00033C9D" w:rsidP="00033C9D">
      <w:pPr>
        <w:spacing w:line="259" w:lineRule="auto"/>
        <w:ind w:left="-5"/>
      </w:pPr>
      <w:r>
        <w:t xml:space="preserve">Does the witness have direct personal knowledge of the facts to which the opinion pertains?  </w:t>
      </w:r>
    </w:p>
    <w:p w:rsidR="00033C9D" w:rsidRDefault="00033C9D" w:rsidP="00033C9D">
      <w:pPr>
        <w:spacing w:line="255" w:lineRule="auto"/>
        <w:ind w:left="-5"/>
      </w:pPr>
      <w:r>
        <w:t xml:space="preserve">Is the opinion of the common, everyday sort, i.e." does not involve specialized knowledge or tests?  </w:t>
      </w:r>
    </w:p>
    <w:p w:rsidR="00033C9D" w:rsidRDefault="00033C9D" w:rsidP="00033C9D">
      <w:pPr>
        <w:spacing w:line="259" w:lineRule="auto"/>
        <w:ind w:left="-5"/>
      </w:pPr>
      <w:r>
        <w:t xml:space="preserve">Is the opinion NOT part of a level judgment, reserved for the jury or judge to decide?  </w:t>
      </w:r>
    </w:p>
    <w:p w:rsidR="00033C9D" w:rsidRDefault="00033C9D" w:rsidP="00033C9D">
      <w:pPr>
        <w:spacing w:after="217"/>
        <w:ind w:left="-5"/>
      </w:pPr>
      <w:r>
        <w:t xml:space="preserve">Opinions from ordinary witnesses must be based on personal experience and have some bearing on the </w:t>
      </w:r>
      <w:r>
        <w:rPr>
          <w:rFonts w:ascii="Times New Roman" w:eastAsia="Times New Roman" w:hAnsi="Times New Roman" w:cs="Times New Roman"/>
          <w:i/>
        </w:rPr>
        <w:t xml:space="preserve">facts </w:t>
      </w:r>
      <w:r>
        <w:t xml:space="preserve">(as opposed to the </w:t>
      </w:r>
      <w:r>
        <w:rPr>
          <w:rFonts w:ascii="Times New Roman" w:eastAsia="Times New Roman" w:hAnsi="Times New Roman" w:cs="Times New Roman"/>
          <w:i/>
        </w:rPr>
        <w:t xml:space="preserve">judgment </w:t>
      </w:r>
      <w:r>
        <w:t xml:space="preserve">of the case. This distinction is further refined in situations involving hearsay and personal judgment, discussed below. Expert witnesses are exempt from the opinion rule, since experts are hired to render a professional opinion.  </w:t>
      </w:r>
    </w:p>
    <w:p w:rsidR="00033C9D" w:rsidRDefault="00033C9D" w:rsidP="00033C9D">
      <w:pPr>
        <w:pStyle w:val="Heading2"/>
        <w:ind w:left="-5"/>
      </w:pPr>
      <w:r>
        <w:t xml:space="preserve">EXPERT WITNESSES  </w:t>
      </w:r>
    </w:p>
    <w:p w:rsidR="00033C9D" w:rsidRDefault="00033C9D" w:rsidP="00033C9D">
      <w:pPr>
        <w:spacing w:after="218"/>
        <w:ind w:left="-5"/>
      </w:pPr>
      <w:r>
        <w:t xml:space="preserve">Expert witnesses are allowed to give opinion testimony because they possess education, training, skill, or experience in drawing conclusions from certain types of data or information that lay witnesses do not </w:t>
      </w:r>
      <w:r>
        <w:lastRenderedPageBreak/>
        <w:t xml:space="preserve">possess. However, expert testimony may be excluded if it embraces a legal conclusion. Therefore, expert opinions addressing or innocence will likely be excluded in criminal cases.  </w:t>
      </w:r>
    </w:p>
    <w:p w:rsidR="00033C9D" w:rsidRDefault="00033C9D" w:rsidP="00033C9D">
      <w:pPr>
        <w:pStyle w:val="Heading2"/>
        <w:ind w:left="-5"/>
      </w:pPr>
      <w:r>
        <w:t xml:space="preserve">Exhibits  </w:t>
      </w:r>
    </w:p>
    <w:p w:rsidR="00033C9D" w:rsidRDefault="00033C9D" w:rsidP="00033C9D">
      <w:pPr>
        <w:spacing w:after="217"/>
        <w:ind w:left="-5"/>
      </w:pPr>
      <w:r>
        <w:rPr>
          <w:rFonts w:ascii="Times New Roman" w:eastAsia="Times New Roman" w:hAnsi="Times New Roman" w:cs="Times New Roman"/>
          <w:i/>
        </w:rPr>
        <w:t xml:space="preserve">Exhibits </w:t>
      </w:r>
      <w:r>
        <w:t xml:space="preserve">are the tangible objects presented as evidence. Therefore, both real evidence and demonstrative evidence are entered into the record as exhibits. This includes documents like contracts, letters, and receipts; plus photographs, X-rays, baseball bats, knives, fountain pens. In short, anything that is not testimony is an exhibit Testimony is what people say. Exhibits are the "props."  </w:t>
      </w:r>
    </w:p>
    <w:p w:rsidR="00033C9D" w:rsidRDefault="00033C9D" w:rsidP="00033C9D">
      <w:pPr>
        <w:pStyle w:val="Heading2"/>
        <w:ind w:left="-5"/>
      </w:pPr>
      <w:r>
        <w:t xml:space="preserve">Demonstrative Exhibits  </w:t>
      </w:r>
    </w:p>
    <w:p w:rsidR="00033C9D" w:rsidRDefault="00033C9D" w:rsidP="00033C9D">
      <w:pPr>
        <w:ind w:left="-5"/>
      </w:pPr>
      <w:r>
        <w:t xml:space="preserve">An exhibit used for purely "illustrative purposes" is a type of </w:t>
      </w:r>
      <w:r>
        <w:rPr>
          <w:rFonts w:ascii="Times New Roman" w:eastAsia="Times New Roman" w:hAnsi="Times New Roman" w:cs="Times New Roman"/>
          <w:i/>
        </w:rPr>
        <w:t xml:space="preserve">demonstrative evidence. </w:t>
      </w:r>
      <w:r>
        <w:t xml:space="preserve">Demonstrative evidence includes charts, and summaries that help to simplify complicated evidence for the jury. Such evidence is admissible if the court decides that it presents a fair and balanced summary or picture of the evidence and is not unduly prejudicial.  </w:t>
      </w:r>
    </w:p>
    <w:p w:rsidR="00033C9D" w:rsidRDefault="00033C9D" w:rsidP="00033C9D">
      <w:pPr>
        <w:spacing w:after="217"/>
        <w:ind w:left="-5"/>
      </w:pPr>
      <w:r>
        <w:t xml:space="preserve">In complex fraud cases, such evidence is extremely useful, but care should be taken to keep the charts and exhibits simple. The evidence that is summarized must be made available to the other party, and the court may order that the underling document may be produced to the court. </w:t>
      </w:r>
    </w:p>
    <w:p w:rsidR="00033C9D" w:rsidRDefault="00033C9D" w:rsidP="00033C9D">
      <w:pPr>
        <w:pStyle w:val="Heading2"/>
        <w:ind w:left="-5"/>
      </w:pPr>
      <w:r>
        <w:t xml:space="preserve">Authenticating Typical Exhibits  </w:t>
      </w:r>
    </w:p>
    <w:p w:rsidR="00033C9D" w:rsidRDefault="00033C9D" w:rsidP="00033C9D">
      <w:pPr>
        <w:spacing w:after="335"/>
        <w:ind w:left="-5"/>
      </w:pPr>
      <w:r>
        <w:t xml:space="preserve">At the most basic; level, evidence must be established as reliable or authentic. Thus, evidence, other than testimonial evidence, must be properly authenticated; that is, the party offering the document must produce some evidence to show it is, in fact, what the party says it is. If a piece of real evidence cannot be authenticated, the evidence </w:t>
      </w:r>
      <w:proofErr w:type="gramStart"/>
      <w:r>
        <w:t>Will</w:t>
      </w:r>
      <w:proofErr w:type="gramEnd"/>
      <w:r>
        <w:t xml:space="preserve"> not be admitted, even if it is plainly relevant. </w:t>
      </w:r>
    </w:p>
    <w:p w:rsidR="00033C9D" w:rsidRDefault="00033C9D" w:rsidP="00033C9D">
      <w:pPr>
        <w:ind w:left="-5"/>
      </w:pPr>
      <w:r>
        <w:t xml:space="preserve">Similar to the authentication requirement for evidence, there is a </w:t>
      </w:r>
      <w:proofErr w:type="spellStart"/>
      <w:r>
        <w:t>sinlilarsort</w:t>
      </w:r>
      <w:proofErr w:type="spellEnd"/>
      <w:r>
        <w:t xml:space="preserve"> of "credibility test' for witnesses. If testimony is to become admissible evidence, the witness must demonstrate that the knowledge being communicated is believable and made by personal experience.  </w:t>
      </w:r>
    </w:p>
    <w:p w:rsidR="00033C9D" w:rsidRPr="002F1840" w:rsidRDefault="00033C9D" w:rsidP="00D81504">
      <w:pPr>
        <w:spacing w:after="0"/>
        <w:rPr>
          <w:rFonts w:ascii="Book Antiqua" w:hAnsi="Book Antiqua"/>
          <w:bCs/>
          <w:sz w:val="24"/>
          <w:szCs w:val="24"/>
        </w:rPr>
      </w:pPr>
    </w:p>
    <w:p w:rsidR="00D81504" w:rsidRPr="002F1840" w:rsidRDefault="00D81504" w:rsidP="00D81504">
      <w:pPr>
        <w:spacing w:after="0"/>
        <w:rPr>
          <w:rFonts w:ascii="Book Antiqua" w:hAnsi="Book Antiqua"/>
          <w:b/>
          <w:sz w:val="28"/>
          <w:szCs w:val="28"/>
        </w:rPr>
      </w:pPr>
      <w:r w:rsidRPr="002F1840">
        <w:rPr>
          <w:rFonts w:ascii="Book Antiqua" w:hAnsi="Book Antiqua"/>
          <w:b/>
          <w:bCs/>
          <w:sz w:val="28"/>
          <w:szCs w:val="28"/>
        </w:rPr>
        <w:t>Question. 4</w:t>
      </w:r>
    </w:p>
    <w:p w:rsidR="00D81504" w:rsidRPr="002F1840" w:rsidRDefault="00D81504" w:rsidP="00D81504">
      <w:pPr>
        <w:spacing w:after="0"/>
        <w:rPr>
          <w:rFonts w:ascii="Book Antiqua" w:hAnsi="Book Antiqua"/>
          <w:sz w:val="24"/>
          <w:szCs w:val="24"/>
        </w:rPr>
      </w:pPr>
    </w:p>
    <w:p w:rsidR="00494D4C" w:rsidRDefault="007A68AD" w:rsidP="007F3C23">
      <w:pPr>
        <w:autoSpaceDE w:val="0"/>
        <w:autoSpaceDN w:val="0"/>
        <w:adjustRightInd w:val="0"/>
        <w:spacing w:after="0" w:line="240" w:lineRule="auto"/>
        <w:jc w:val="both"/>
        <w:rPr>
          <w:rFonts w:ascii="Book Antiqua" w:hAnsi="Book Antiqua"/>
          <w:b/>
          <w:bCs/>
          <w:sz w:val="20"/>
          <w:szCs w:val="20"/>
        </w:rPr>
      </w:pPr>
      <w:r w:rsidRPr="002F1840">
        <w:rPr>
          <w:rFonts w:ascii="Book Antiqua" w:hAnsi="Book Antiqua" w:cs="Times New Roman"/>
          <w:bCs/>
          <w:sz w:val="24"/>
          <w:szCs w:val="24"/>
          <w:lang w:val="en-GB"/>
        </w:rPr>
        <w:t xml:space="preserve">There are some of the issues you </w:t>
      </w:r>
      <w:r w:rsidR="002F1840" w:rsidRPr="002F1840">
        <w:rPr>
          <w:rFonts w:ascii="Book Antiqua" w:hAnsi="Book Antiqua" w:cs="Times New Roman"/>
          <w:bCs/>
          <w:sz w:val="24"/>
          <w:szCs w:val="24"/>
          <w:lang w:val="en-GB"/>
        </w:rPr>
        <w:t>will</w:t>
      </w:r>
      <w:r w:rsidRPr="002F1840">
        <w:rPr>
          <w:rFonts w:ascii="Book Antiqua" w:hAnsi="Book Antiqua" w:cs="Times New Roman"/>
          <w:bCs/>
          <w:sz w:val="24"/>
          <w:szCs w:val="24"/>
          <w:lang w:val="en-GB"/>
        </w:rPr>
        <w:t xml:space="preserve"> encounter in proving to the Judge</w:t>
      </w:r>
      <w:r w:rsidR="007F3C23">
        <w:rPr>
          <w:rFonts w:ascii="Book Antiqua" w:hAnsi="Book Antiqua" w:cs="Times New Roman"/>
          <w:bCs/>
          <w:sz w:val="24"/>
          <w:szCs w:val="24"/>
          <w:lang w:val="en-GB"/>
        </w:rPr>
        <w:t xml:space="preserve"> that</w:t>
      </w:r>
      <w:r w:rsidRPr="002F1840">
        <w:rPr>
          <w:rFonts w:ascii="Book Antiqua" w:hAnsi="Book Antiqua" w:cs="Times New Roman"/>
          <w:bCs/>
          <w:sz w:val="24"/>
          <w:szCs w:val="24"/>
          <w:lang w:val="en-GB"/>
        </w:rPr>
        <w:t xml:space="preserve"> a particular exhibit is authentic</w:t>
      </w:r>
      <w:r w:rsidR="00494D4C">
        <w:rPr>
          <w:rFonts w:ascii="Book Antiqua" w:hAnsi="Book Antiqua" w:cs="Times New Roman"/>
          <w:bCs/>
          <w:sz w:val="24"/>
          <w:szCs w:val="24"/>
          <w:lang w:val="en-GB"/>
        </w:rPr>
        <w:t xml:space="preserve"> </w:t>
      </w:r>
      <w:r w:rsidRPr="002F1840">
        <w:rPr>
          <w:rFonts w:ascii="Book Antiqua" w:hAnsi="Book Antiqua" w:cs="Times New Roman"/>
          <w:bCs/>
          <w:sz w:val="24"/>
          <w:szCs w:val="24"/>
          <w:lang w:val="en-GB"/>
        </w:rPr>
        <w:t>.</w:t>
      </w:r>
      <w:r w:rsidR="00494D4C">
        <w:rPr>
          <w:rFonts w:ascii="Book Antiqua" w:hAnsi="Book Antiqua" w:cs="Times New Roman"/>
          <w:bCs/>
          <w:sz w:val="24"/>
          <w:szCs w:val="24"/>
          <w:lang w:val="en-GB"/>
        </w:rPr>
        <w:t>Discuss.</w:t>
      </w:r>
      <w:r w:rsidR="00D81504" w:rsidRPr="002F1840">
        <w:rPr>
          <w:rFonts w:ascii="Book Antiqua" w:hAnsi="Book Antiqua"/>
          <w:bCs/>
          <w:sz w:val="24"/>
          <w:szCs w:val="24"/>
        </w:rPr>
        <w:tab/>
      </w:r>
      <w:r w:rsidR="00D81504" w:rsidRPr="002F1840">
        <w:rPr>
          <w:rFonts w:ascii="Book Antiqua" w:hAnsi="Book Antiqua"/>
          <w:bCs/>
          <w:sz w:val="24"/>
          <w:szCs w:val="24"/>
        </w:rPr>
        <w:tab/>
      </w:r>
      <w:r w:rsidR="00D81504" w:rsidRPr="002F1840">
        <w:rPr>
          <w:rFonts w:ascii="Book Antiqua" w:hAnsi="Book Antiqua"/>
          <w:bCs/>
          <w:sz w:val="24"/>
          <w:szCs w:val="24"/>
        </w:rPr>
        <w:tab/>
      </w:r>
      <w:r w:rsidR="00D81504" w:rsidRPr="002F1840">
        <w:rPr>
          <w:rFonts w:ascii="Book Antiqua" w:hAnsi="Book Antiqua"/>
          <w:bCs/>
          <w:sz w:val="24"/>
          <w:szCs w:val="24"/>
        </w:rPr>
        <w:tab/>
      </w:r>
      <w:r w:rsidR="00494D4C" w:rsidRPr="007F3C23">
        <w:rPr>
          <w:rFonts w:ascii="Book Antiqua" w:hAnsi="Book Antiqua"/>
          <w:bCs/>
          <w:sz w:val="20"/>
          <w:szCs w:val="20"/>
        </w:rPr>
        <w:t xml:space="preserve">           </w:t>
      </w:r>
      <w:r w:rsidR="007F3C23">
        <w:rPr>
          <w:rFonts w:ascii="Book Antiqua" w:hAnsi="Book Antiqua"/>
          <w:bCs/>
          <w:sz w:val="20"/>
          <w:szCs w:val="20"/>
        </w:rPr>
        <w:tab/>
      </w:r>
      <w:r w:rsidR="007F3C23">
        <w:rPr>
          <w:rFonts w:ascii="Book Antiqua" w:hAnsi="Book Antiqua"/>
          <w:bCs/>
          <w:sz w:val="20"/>
          <w:szCs w:val="20"/>
        </w:rPr>
        <w:tab/>
        <w:t xml:space="preserve">             </w:t>
      </w:r>
      <w:r w:rsidR="00494D4C" w:rsidRPr="007F3C23">
        <w:rPr>
          <w:rFonts w:ascii="Book Antiqua" w:hAnsi="Book Antiqua"/>
          <w:bCs/>
          <w:sz w:val="20"/>
          <w:szCs w:val="20"/>
        </w:rPr>
        <w:t xml:space="preserve">   </w:t>
      </w:r>
      <w:r w:rsidR="00494D4C" w:rsidRPr="007F3C23">
        <w:rPr>
          <w:rFonts w:ascii="Book Antiqua" w:hAnsi="Book Antiqua"/>
          <w:b/>
          <w:bCs/>
          <w:sz w:val="20"/>
          <w:szCs w:val="20"/>
        </w:rPr>
        <w:t>(20Marks)</w:t>
      </w:r>
    </w:p>
    <w:p w:rsidR="00033C9D" w:rsidRDefault="00033C9D" w:rsidP="00033C9D">
      <w:pPr>
        <w:pStyle w:val="Heading2"/>
        <w:spacing w:after="361"/>
        <w:ind w:left="-5"/>
      </w:pPr>
      <w:r>
        <w:t xml:space="preserve">Diagrams  </w:t>
      </w:r>
    </w:p>
    <w:p w:rsidR="00033C9D" w:rsidRDefault="00033C9D" w:rsidP="00033C9D">
      <w:pPr>
        <w:spacing w:after="217"/>
        <w:ind w:left="-5"/>
      </w:pPr>
      <w:r>
        <w:t xml:space="preserve">A diagram (on paper or some other tangible display) can be admitted as evidence with no more foundation than the witness: "Is this a fair representation of the Suite where you work?" It does not have to be true to scale, or particularly detailed. A diagram can be prepared before trial, during trial, or prepped outside the court and finished during questioning. If the witness or the opposition objects to </w:t>
      </w:r>
      <w:r>
        <w:lastRenderedPageBreak/>
        <w:t xml:space="preserve">the diagram, further foundation may need to be established. Diagrams can be used in random with photos </w:t>
      </w:r>
      <w:r>
        <w:rPr>
          <w:rFonts w:ascii="Times New Roman" w:eastAsia="Times New Roman" w:hAnsi="Times New Roman" w:cs="Times New Roman"/>
          <w:i/>
        </w:rPr>
        <w:t xml:space="preserve">or </w:t>
      </w:r>
      <w:r>
        <w:t xml:space="preserve">other representational evidence, or as assistance in demonstrations to the jury.  </w:t>
      </w:r>
    </w:p>
    <w:p w:rsidR="00033C9D" w:rsidRDefault="00033C9D" w:rsidP="00033C9D">
      <w:pPr>
        <w:pStyle w:val="Heading2"/>
        <w:spacing w:after="145"/>
        <w:ind w:left="-5"/>
      </w:pPr>
      <w:r>
        <w:t xml:space="preserve">Correspondence  </w:t>
      </w:r>
    </w:p>
    <w:p w:rsidR="00033C9D" w:rsidRDefault="00033C9D" w:rsidP="00033C9D">
      <w:pPr>
        <w:spacing w:after="215"/>
        <w:ind w:left="-5"/>
      </w:pPr>
      <w:r>
        <w:t xml:space="preserve">Letters and faxes require a foundation to establish authorship. Depending on the document and situation, the foundation is laid in one of several ways: (1) the author is present and claims authorship; (2) a witness testifies to seeing the author write the document; (3) with handwritten letters, a witness verifies the author's penmanship; (4) with typed or machine- written documents, the witness verifies the author's signature; (5) a witness testifies that the contents of the document point decisively to the author. These and many other document issues may require the participation of a </w:t>
      </w:r>
      <w:r>
        <w:rPr>
          <w:rFonts w:ascii="Times New Roman" w:eastAsia="Times New Roman" w:hAnsi="Times New Roman" w:cs="Times New Roman"/>
          <w:i/>
        </w:rPr>
        <w:t xml:space="preserve">questioned documents expert. </w:t>
      </w:r>
      <w:r>
        <w:t xml:space="preserve">These professionals are trained to analyze virtually every aspect of document production, from handwriting to the approximate strength of the letter "a" when struck from a particular manual typewriter.  </w:t>
      </w:r>
    </w:p>
    <w:p w:rsidR="00033C9D" w:rsidRDefault="00033C9D" w:rsidP="00033C9D">
      <w:pPr>
        <w:pStyle w:val="Heading2"/>
        <w:spacing w:after="130"/>
        <w:ind w:left="-5"/>
      </w:pPr>
      <w:r>
        <w:t xml:space="preserve">Business Records  </w:t>
      </w:r>
    </w:p>
    <w:p w:rsidR="00033C9D" w:rsidRDefault="00033C9D" w:rsidP="00033C9D">
      <w:pPr>
        <w:ind w:left="-5"/>
      </w:pPr>
      <w:r>
        <w:t xml:space="preserve">Business records can encompass a broad range of documents, from all sorts of Organizations, including corporations, small businesses, nonprofit operations, and community groups.  </w:t>
      </w:r>
    </w:p>
    <w:p w:rsidR="00033C9D" w:rsidRDefault="00033C9D" w:rsidP="00033C9D">
      <w:pPr>
        <w:spacing w:after="314" w:line="259" w:lineRule="auto"/>
        <w:ind w:left="-5"/>
      </w:pPr>
      <w:r>
        <w:t xml:space="preserve">Exhibits such as business records and correspondence are vulnerable to objections as hearsay.  </w:t>
      </w:r>
    </w:p>
    <w:p w:rsidR="00033C9D" w:rsidRDefault="00033C9D" w:rsidP="00033C9D">
      <w:pPr>
        <w:spacing w:line="259" w:lineRule="auto"/>
        <w:ind w:left="-5"/>
      </w:pPr>
      <w:r>
        <w:t xml:space="preserve">To overcome a hearsay objection with regard to business records, you must show the following:  </w:t>
      </w:r>
    </w:p>
    <w:p w:rsidR="00033C9D" w:rsidRDefault="00033C9D" w:rsidP="00033C9D">
      <w:pPr>
        <w:ind w:left="-5"/>
      </w:pPr>
      <w:r>
        <w:t xml:space="preserve">The document was prepared as a usual part of doing business (i.e., it was not prepared specifically for litigation). </w:t>
      </w:r>
    </w:p>
    <w:p w:rsidR="00033C9D" w:rsidRDefault="00033C9D" w:rsidP="00033C9D">
      <w:pPr>
        <w:ind w:left="-5"/>
      </w:pPr>
      <w:r>
        <w:t xml:space="preserve">The document was prepared reasonably near the time of the event it describes. .The organization‘s way of keeping records is demonstrably reliable.  </w:t>
      </w:r>
    </w:p>
    <w:p w:rsidR="00033C9D" w:rsidRDefault="00033C9D" w:rsidP="00033C9D">
      <w:pPr>
        <w:ind w:left="-5"/>
      </w:pPr>
      <w:r>
        <w:t xml:space="preserve">This can be accomplished by having a member of the record-keeping or archival staff testify how records are kept and that these particular records were created in the normal course of business. .  </w:t>
      </w:r>
    </w:p>
    <w:p w:rsidR="00033C9D" w:rsidRDefault="00033C9D" w:rsidP="00033C9D">
      <w:pPr>
        <w:ind w:left="-5"/>
      </w:pPr>
      <w:r>
        <w:t xml:space="preserve">The requirements for government documents are the same as for other business records: The distinction between government and business records arose because of narrow  </w:t>
      </w:r>
    </w:p>
    <w:p w:rsidR="00033C9D" w:rsidRDefault="00033C9D" w:rsidP="00033C9D">
      <w:pPr>
        <w:spacing w:after="217"/>
        <w:ind w:left="-5"/>
      </w:pPr>
      <w:r>
        <w:t xml:space="preserve">Interpretations of the law that separated nonprofit from for-profit enterprises. Today, most records, regardless of origin, are called business records.  </w:t>
      </w:r>
    </w:p>
    <w:p w:rsidR="00033C9D" w:rsidRDefault="00033C9D" w:rsidP="00033C9D">
      <w:pPr>
        <w:pStyle w:val="Heading2"/>
        <w:spacing w:after="128"/>
        <w:ind w:left="-5"/>
      </w:pPr>
      <w:r>
        <w:t xml:space="preserve">Digital Evidence  </w:t>
      </w:r>
    </w:p>
    <w:p w:rsidR="00033C9D" w:rsidRDefault="00033C9D" w:rsidP="00033C9D">
      <w:pPr>
        <w:ind w:left="-5"/>
      </w:pPr>
      <w:r>
        <w:t xml:space="preserve">Courts are still sorting out the issue of how to deal with digital evidence, and there is still much controversy regarding how to authenticate digital records. If digital evidence needs to be seized, it is vital that you engage the services of a trained computer forensic technician. A properly trained technician should know the proper procedures to follow to ensure the files can be authenticated.  </w:t>
      </w:r>
    </w:p>
    <w:p w:rsidR="00033C9D" w:rsidRDefault="00033C9D" w:rsidP="00033C9D">
      <w:pPr>
        <w:spacing w:after="218"/>
        <w:ind w:left="-5"/>
      </w:pPr>
      <w:r>
        <w:lastRenderedPageBreak/>
        <w:t xml:space="preserve">In the case of computerized business records, many courts will allow such records into evidence as long as they meet the usual business-records foundation. The required supporting material to authenticate computer records will include information on the computing machine used, any software, and the record-keeping process. A business record, electronic or otherwise, is legal as long as it is kept in the normal course of business. When there are clear routines for compiling information, admitting the record into court will be routine. </w:t>
      </w:r>
    </w:p>
    <w:p w:rsidR="00033C9D" w:rsidRDefault="00033C9D" w:rsidP="00033C9D">
      <w:pPr>
        <w:pStyle w:val="Heading2"/>
        <w:spacing w:after="128"/>
        <w:ind w:left="-5"/>
      </w:pPr>
      <w:r>
        <w:t xml:space="preserve">Photographs  </w:t>
      </w:r>
    </w:p>
    <w:p w:rsidR="00033C9D" w:rsidRDefault="00033C9D" w:rsidP="00033C9D">
      <w:pPr>
        <w:ind w:left="-5"/>
      </w:pPr>
      <w:r>
        <w:t xml:space="preserve">Photographs can be tricky: they need foundation to establish their fidelity to the 6bject they claim to represent. Generally it is enough to have a witness familiar with the object or space in a photo to corroborate, "Yes, that's the hallway running between our two buildings." The matter gets more complicated when a photo is controversial. This can require technical specifications for proper foundation.  </w:t>
      </w:r>
    </w:p>
    <w:p w:rsidR="00033C9D" w:rsidRDefault="00033C9D" w:rsidP="00033C9D">
      <w:pPr>
        <w:ind w:left="-5"/>
      </w:pPr>
      <w:proofErr w:type="gramStart"/>
      <w:r>
        <w:t>ln</w:t>
      </w:r>
      <w:proofErr w:type="gramEnd"/>
      <w:r>
        <w:t xml:space="preserve"> some unusual situations, a photo may reveal information, which no 'witness can corroborate. There has been at least one instance where the background of a photo showed a stabbing that took place in a crowd. No one, not even the photographer, saw the stabbing at the time. In unusual situations where a photo communicates evidence not substantiated elsewhere, the foundation of the photograph will need more strength-including technical details on the camera, the f11m, who took the shot, why and where, etc.  </w:t>
      </w:r>
    </w:p>
    <w:p w:rsidR="00033C9D" w:rsidRDefault="00033C9D" w:rsidP="00033C9D">
      <w:pPr>
        <w:spacing w:after="217"/>
        <w:ind w:left="-5"/>
      </w:pPr>
      <w:r>
        <w:t xml:space="preserve">The exceptions make photos seem more legally fraught than they are. They usually ate admitted with little objection. Photos do not even have to be contemporary with the crime or grievance to which they pertain. If a photograph is established as accurate in its portrayal, it can be shot after the original act.  </w:t>
      </w:r>
    </w:p>
    <w:p w:rsidR="00033C9D" w:rsidRDefault="00033C9D" w:rsidP="00033C9D">
      <w:pPr>
        <w:pStyle w:val="Heading2"/>
        <w:spacing w:after="128"/>
        <w:ind w:left="-5"/>
      </w:pPr>
      <w:r>
        <w:t xml:space="preserve">General Points  </w:t>
      </w:r>
    </w:p>
    <w:p w:rsidR="00033C9D" w:rsidRDefault="00033C9D" w:rsidP="00033C9D">
      <w:pPr>
        <w:ind w:left="-5"/>
      </w:pPr>
      <w:r>
        <w:t xml:space="preserve">Either side can enter exhibits into the record, given the proper foundation. Once admitted, the evidence is available for use by either side. It does not matter who entered a hammer into evidence; either side can use it during questioning.  </w:t>
      </w:r>
    </w:p>
    <w:p w:rsidR="00033C9D" w:rsidRDefault="00033C9D" w:rsidP="00033C9D">
      <w:pPr>
        <w:ind w:left="-5"/>
      </w:pPr>
      <w:r>
        <w:t xml:space="preserve">It also does not matter when exhibits are admitted. They may be introduced into evidence during direct examination: opposing counsel is allowed to inspect the exhibit; the witness confirms the exhibit, which has been marked Exhibit A (or Exhibit l): Some courts use letters for exhibits while some court use numbers. Usually the exhibit is identified by which side enters it (e.g., Plaintiff's Exhibit 1).  </w:t>
      </w:r>
    </w:p>
    <w:p w:rsidR="00033C9D" w:rsidRDefault="00033C9D" w:rsidP="00033C9D">
      <w:pPr>
        <w:ind w:left="-5"/>
      </w:pPr>
      <w:r>
        <w:t xml:space="preserve">When everyone agrees, exhibits cart be directly entered into the record, without foundational review, by a simple stipulation. Both parties sign the stipulation form, describing and acknowledging the exhibit.  </w:t>
      </w:r>
    </w:p>
    <w:p w:rsidR="00033C9D" w:rsidRDefault="00033C9D" w:rsidP="00033C9D">
      <w:pPr>
        <w:spacing w:after="314" w:line="259" w:lineRule="auto"/>
      </w:pPr>
      <w:r>
        <w:rPr>
          <w:rFonts w:ascii="Times New Roman" w:eastAsia="Times New Roman" w:hAnsi="Times New Roman" w:cs="Times New Roman"/>
          <w:b/>
        </w:rPr>
        <w:t xml:space="preserve"> </w:t>
      </w:r>
    </w:p>
    <w:p w:rsidR="00033C9D" w:rsidRPr="007F3C23" w:rsidRDefault="00033C9D" w:rsidP="007F3C23">
      <w:pPr>
        <w:autoSpaceDE w:val="0"/>
        <w:autoSpaceDN w:val="0"/>
        <w:adjustRightInd w:val="0"/>
        <w:spacing w:after="0" w:line="240" w:lineRule="auto"/>
        <w:jc w:val="both"/>
        <w:rPr>
          <w:rFonts w:ascii="Book Antiqua" w:hAnsi="Book Antiqua" w:cs="Times New Roman"/>
          <w:bCs/>
          <w:sz w:val="24"/>
          <w:szCs w:val="24"/>
          <w:lang w:val="en-GB"/>
        </w:rPr>
      </w:pPr>
    </w:p>
    <w:p w:rsidR="00D81504" w:rsidRPr="00D457E8" w:rsidRDefault="00D81504" w:rsidP="00D81504">
      <w:pPr>
        <w:spacing w:after="0"/>
        <w:rPr>
          <w:rFonts w:ascii="Book Antiqua" w:hAnsi="Book Antiqua"/>
          <w:b/>
          <w:bCs/>
          <w:sz w:val="24"/>
          <w:szCs w:val="24"/>
        </w:rPr>
      </w:pPr>
      <w:r w:rsidRPr="002F1840">
        <w:rPr>
          <w:rFonts w:ascii="Book Antiqua" w:hAnsi="Book Antiqua"/>
          <w:bCs/>
          <w:sz w:val="24"/>
          <w:szCs w:val="24"/>
        </w:rPr>
        <w:tab/>
      </w:r>
      <w:r w:rsidR="00494D4C">
        <w:rPr>
          <w:rFonts w:ascii="Book Antiqua" w:hAnsi="Book Antiqua"/>
          <w:bCs/>
          <w:sz w:val="24"/>
          <w:szCs w:val="24"/>
        </w:rPr>
        <w:t xml:space="preserve">       </w:t>
      </w:r>
    </w:p>
    <w:p w:rsidR="00D81504" w:rsidRPr="002F1840" w:rsidRDefault="00D81504" w:rsidP="00D81504">
      <w:pPr>
        <w:spacing w:after="0"/>
        <w:rPr>
          <w:rFonts w:ascii="Book Antiqua" w:hAnsi="Book Antiqua"/>
          <w:b/>
          <w:bCs/>
          <w:sz w:val="28"/>
          <w:szCs w:val="28"/>
        </w:rPr>
      </w:pPr>
      <w:r w:rsidRPr="002F1840">
        <w:rPr>
          <w:rFonts w:ascii="Book Antiqua" w:hAnsi="Book Antiqua"/>
          <w:b/>
          <w:bCs/>
          <w:sz w:val="28"/>
          <w:szCs w:val="28"/>
        </w:rPr>
        <w:lastRenderedPageBreak/>
        <w:t>Question. 5</w:t>
      </w:r>
    </w:p>
    <w:p w:rsidR="002F1840" w:rsidRDefault="002F1840" w:rsidP="002F1840">
      <w:pPr>
        <w:spacing w:after="0"/>
        <w:rPr>
          <w:rFonts w:ascii="Book Antiqua" w:hAnsi="Book Antiqua"/>
          <w:bCs/>
          <w:sz w:val="24"/>
          <w:szCs w:val="24"/>
        </w:rPr>
      </w:pPr>
    </w:p>
    <w:p w:rsidR="00033C9D" w:rsidRDefault="00494D4C" w:rsidP="007F3C23">
      <w:pPr>
        <w:spacing w:after="0"/>
        <w:jc w:val="both"/>
        <w:rPr>
          <w:rFonts w:ascii="Book Antiqua" w:hAnsi="Book Antiqua"/>
          <w:b/>
          <w:bCs/>
          <w:sz w:val="20"/>
          <w:szCs w:val="20"/>
        </w:rPr>
      </w:pPr>
      <w:r>
        <w:rPr>
          <w:rFonts w:ascii="Book Antiqua" w:hAnsi="Book Antiqua" w:cs="Times New Roman"/>
          <w:bCs/>
          <w:sz w:val="24"/>
          <w:szCs w:val="24"/>
          <w:lang w:val="en-GB"/>
        </w:rPr>
        <w:t>Draft a Sample R</w:t>
      </w:r>
      <w:r w:rsidR="007E1262">
        <w:rPr>
          <w:rFonts w:ascii="Book Antiqua" w:hAnsi="Book Antiqua" w:cs="Times New Roman"/>
          <w:bCs/>
          <w:sz w:val="24"/>
          <w:szCs w:val="24"/>
          <w:lang w:val="en-GB"/>
        </w:rPr>
        <w:t>eport for Fraud Examination</w:t>
      </w:r>
      <w:r>
        <w:rPr>
          <w:rFonts w:ascii="Book Antiqua" w:hAnsi="Book Antiqua"/>
          <w:bCs/>
          <w:sz w:val="24"/>
          <w:szCs w:val="24"/>
        </w:rPr>
        <w:t>.</w:t>
      </w:r>
      <w:r w:rsidR="007A68AD" w:rsidRPr="002F1840">
        <w:rPr>
          <w:rFonts w:ascii="Book Antiqua" w:hAnsi="Book Antiqua"/>
          <w:bCs/>
          <w:sz w:val="24"/>
          <w:szCs w:val="24"/>
        </w:rPr>
        <w:tab/>
      </w:r>
      <w:r w:rsidR="007A68AD" w:rsidRPr="002F1840">
        <w:rPr>
          <w:rFonts w:ascii="Book Antiqua" w:hAnsi="Book Antiqua"/>
          <w:bCs/>
          <w:sz w:val="24"/>
          <w:szCs w:val="24"/>
        </w:rPr>
        <w:tab/>
      </w:r>
      <w:r w:rsidR="007A68AD" w:rsidRPr="002F1840">
        <w:rPr>
          <w:rFonts w:ascii="Book Antiqua" w:hAnsi="Book Antiqua"/>
          <w:bCs/>
          <w:sz w:val="24"/>
          <w:szCs w:val="24"/>
        </w:rPr>
        <w:tab/>
      </w:r>
      <w:r>
        <w:rPr>
          <w:rFonts w:ascii="Book Antiqua" w:hAnsi="Book Antiqua"/>
          <w:b/>
          <w:bCs/>
          <w:sz w:val="28"/>
          <w:szCs w:val="28"/>
        </w:rPr>
        <w:t xml:space="preserve">           </w:t>
      </w:r>
      <w:r w:rsidR="007E1262">
        <w:rPr>
          <w:rFonts w:ascii="Book Antiqua" w:hAnsi="Book Antiqua"/>
          <w:b/>
          <w:bCs/>
          <w:sz w:val="28"/>
          <w:szCs w:val="28"/>
        </w:rPr>
        <w:t xml:space="preserve">          </w:t>
      </w:r>
      <w:r>
        <w:rPr>
          <w:rFonts w:ascii="Book Antiqua" w:hAnsi="Book Antiqua"/>
          <w:b/>
          <w:bCs/>
          <w:sz w:val="28"/>
          <w:szCs w:val="28"/>
        </w:rPr>
        <w:t xml:space="preserve"> </w:t>
      </w:r>
      <w:r w:rsidRPr="007F3C23">
        <w:rPr>
          <w:rFonts w:ascii="Book Antiqua" w:hAnsi="Book Antiqua"/>
          <w:b/>
          <w:bCs/>
          <w:sz w:val="20"/>
          <w:szCs w:val="20"/>
        </w:rPr>
        <w:t>(20Marks)</w:t>
      </w:r>
    </w:p>
    <w:p w:rsidR="00033C9D" w:rsidRDefault="00033C9D" w:rsidP="00033C9D">
      <w:pPr>
        <w:spacing w:after="44" w:line="259" w:lineRule="auto"/>
        <w:ind w:right="10"/>
        <w:jc w:val="center"/>
      </w:pPr>
      <w:r>
        <w:rPr>
          <w:rFonts w:ascii="Times New Roman" w:eastAsia="Times New Roman" w:hAnsi="Times New Roman" w:cs="Times New Roman"/>
          <w:b/>
        </w:rPr>
        <w:t xml:space="preserve">SAMPLE FRAUD EXAMINATION REPORT </w:t>
      </w:r>
    </w:p>
    <w:tbl>
      <w:tblPr>
        <w:tblStyle w:val="TableGrid"/>
        <w:tblW w:w="7666" w:type="dxa"/>
        <w:tblInd w:w="0" w:type="dxa"/>
        <w:tblCellMar>
          <w:top w:w="0" w:type="dxa"/>
          <w:left w:w="0" w:type="dxa"/>
          <w:bottom w:w="6" w:type="dxa"/>
          <w:right w:w="0" w:type="dxa"/>
        </w:tblCellMar>
        <w:tblLook w:val="04A0" w:firstRow="1" w:lastRow="0" w:firstColumn="1" w:lastColumn="0" w:noHBand="0" w:noVBand="1"/>
      </w:tblPr>
      <w:tblGrid>
        <w:gridCol w:w="1440"/>
        <w:gridCol w:w="6226"/>
      </w:tblGrid>
      <w:tr w:rsidR="00033C9D" w:rsidTr="004E3D52">
        <w:trPr>
          <w:trHeight w:val="442"/>
        </w:trPr>
        <w:tc>
          <w:tcPr>
            <w:tcW w:w="1440" w:type="dxa"/>
            <w:tcBorders>
              <w:top w:val="nil"/>
              <w:left w:val="nil"/>
              <w:bottom w:val="nil"/>
              <w:right w:val="nil"/>
            </w:tcBorders>
          </w:tcPr>
          <w:p w:rsidR="00033C9D" w:rsidRDefault="00033C9D" w:rsidP="004E3D52">
            <w:pPr>
              <w:spacing w:line="259" w:lineRule="auto"/>
            </w:pPr>
            <w:r>
              <w:t xml:space="preserve"> </w:t>
            </w:r>
          </w:p>
        </w:tc>
        <w:tc>
          <w:tcPr>
            <w:tcW w:w="6226" w:type="dxa"/>
            <w:tcBorders>
              <w:top w:val="nil"/>
              <w:left w:val="nil"/>
              <w:bottom w:val="nil"/>
              <w:right w:val="nil"/>
            </w:tcBorders>
            <w:vAlign w:val="center"/>
          </w:tcPr>
          <w:p w:rsidR="00033C9D" w:rsidRDefault="00033C9D" w:rsidP="004E3D52">
            <w:pPr>
              <w:spacing w:after="160" w:line="259" w:lineRule="auto"/>
            </w:pPr>
          </w:p>
        </w:tc>
      </w:tr>
      <w:tr w:rsidR="00033C9D" w:rsidTr="004E3D52">
        <w:trPr>
          <w:trHeight w:val="460"/>
        </w:trPr>
        <w:tc>
          <w:tcPr>
            <w:tcW w:w="1440" w:type="dxa"/>
            <w:tcBorders>
              <w:top w:val="nil"/>
              <w:left w:val="nil"/>
              <w:bottom w:val="nil"/>
              <w:right w:val="nil"/>
            </w:tcBorders>
            <w:vAlign w:val="bottom"/>
          </w:tcPr>
          <w:p w:rsidR="00033C9D" w:rsidRDefault="00033C9D" w:rsidP="004E3D52">
            <w:pPr>
              <w:spacing w:line="259" w:lineRule="auto"/>
            </w:pPr>
            <w:r>
              <w:rPr>
                <w:rFonts w:ascii="Arial" w:eastAsia="Arial" w:hAnsi="Arial" w:cs="Arial"/>
                <w:b/>
              </w:rPr>
              <w:t xml:space="preserve">TO:   </w:t>
            </w:r>
          </w:p>
        </w:tc>
        <w:tc>
          <w:tcPr>
            <w:tcW w:w="6226" w:type="dxa"/>
            <w:tcBorders>
              <w:top w:val="nil"/>
              <w:left w:val="nil"/>
              <w:bottom w:val="nil"/>
              <w:right w:val="nil"/>
            </w:tcBorders>
            <w:vAlign w:val="bottom"/>
          </w:tcPr>
          <w:p w:rsidR="00033C9D" w:rsidRDefault="00033C9D" w:rsidP="004E3D52">
            <w:pPr>
              <w:spacing w:line="259" w:lineRule="auto"/>
            </w:pPr>
            <w:r>
              <w:rPr>
                <w:rFonts w:ascii="Garamond" w:eastAsia="Garamond" w:hAnsi="Garamond" w:cs="Garamond"/>
                <w:color w:val="FF0000"/>
              </w:rPr>
              <w:t xml:space="preserve">[NAME] </w:t>
            </w:r>
            <w:r>
              <w:rPr>
                <w:rFonts w:ascii="Arial" w:eastAsia="Arial" w:hAnsi="Arial" w:cs="Arial"/>
                <w:b/>
              </w:rPr>
              <w:t xml:space="preserve">HAL B. MARLOW </w:t>
            </w:r>
          </w:p>
        </w:tc>
      </w:tr>
      <w:tr w:rsidR="00033C9D" w:rsidTr="004E3D52">
        <w:trPr>
          <w:trHeight w:val="562"/>
        </w:trPr>
        <w:tc>
          <w:tcPr>
            <w:tcW w:w="1440" w:type="dxa"/>
            <w:tcBorders>
              <w:top w:val="nil"/>
              <w:left w:val="nil"/>
              <w:bottom w:val="nil"/>
              <w:right w:val="nil"/>
            </w:tcBorders>
          </w:tcPr>
          <w:p w:rsidR="00033C9D" w:rsidRDefault="00033C9D" w:rsidP="004E3D52">
            <w:pPr>
              <w:spacing w:line="259" w:lineRule="auto"/>
            </w:pPr>
            <w:r>
              <w:rPr>
                <w:rFonts w:ascii="Garamond" w:eastAsia="Garamond" w:hAnsi="Garamond" w:cs="Garamond"/>
                <w:color w:val="FF0000"/>
              </w:rPr>
              <w:t xml:space="preserve"> </w:t>
            </w:r>
            <w:r>
              <w:rPr>
                <w:rFonts w:ascii="Garamond" w:eastAsia="Garamond" w:hAnsi="Garamond" w:cs="Garamond"/>
                <w:color w:val="FF0000"/>
              </w:rPr>
              <w:tab/>
              <w:t xml:space="preserve"> </w:t>
            </w:r>
          </w:p>
          <w:p w:rsidR="00033C9D" w:rsidRDefault="00033C9D" w:rsidP="004E3D52">
            <w:pPr>
              <w:spacing w:line="259" w:lineRule="auto"/>
            </w:pPr>
            <w:r>
              <w:rPr>
                <w:rFonts w:ascii="Arial" w:eastAsia="Arial" w:hAnsi="Arial" w:cs="Arial"/>
                <w:b/>
              </w:rPr>
              <w:t xml:space="preserve"> </w:t>
            </w:r>
          </w:p>
        </w:tc>
        <w:tc>
          <w:tcPr>
            <w:tcW w:w="6226" w:type="dxa"/>
            <w:tcBorders>
              <w:top w:val="nil"/>
              <w:left w:val="nil"/>
              <w:bottom w:val="nil"/>
              <w:right w:val="nil"/>
            </w:tcBorders>
          </w:tcPr>
          <w:p w:rsidR="00033C9D" w:rsidRDefault="00033C9D" w:rsidP="004E3D52">
            <w:pPr>
              <w:spacing w:line="259" w:lineRule="auto"/>
            </w:pPr>
            <w:r>
              <w:rPr>
                <w:rFonts w:ascii="Garamond" w:eastAsia="Garamond" w:hAnsi="Garamond" w:cs="Garamond"/>
                <w:color w:val="FF0000"/>
              </w:rPr>
              <w:t xml:space="preserve">[TITLE] </w:t>
            </w:r>
            <w:r>
              <w:rPr>
                <w:rFonts w:ascii="Arial" w:eastAsia="Arial" w:hAnsi="Arial" w:cs="Arial"/>
                <w:b/>
              </w:rPr>
              <w:t xml:space="preserve">CHIEF EXECUTIVE OFFICER </w:t>
            </w:r>
          </w:p>
        </w:tc>
      </w:tr>
      <w:tr w:rsidR="00033C9D" w:rsidTr="004E3D52">
        <w:trPr>
          <w:trHeight w:val="291"/>
        </w:trPr>
        <w:tc>
          <w:tcPr>
            <w:tcW w:w="1440" w:type="dxa"/>
            <w:tcBorders>
              <w:top w:val="nil"/>
              <w:left w:val="nil"/>
              <w:bottom w:val="nil"/>
              <w:right w:val="nil"/>
            </w:tcBorders>
          </w:tcPr>
          <w:p w:rsidR="00033C9D" w:rsidRDefault="00033C9D" w:rsidP="004E3D52">
            <w:pPr>
              <w:spacing w:line="259" w:lineRule="auto"/>
            </w:pPr>
            <w:r>
              <w:rPr>
                <w:rFonts w:ascii="Arial" w:eastAsia="Arial" w:hAnsi="Arial" w:cs="Arial"/>
                <w:b/>
              </w:rPr>
              <w:t xml:space="preserve">FROM: </w:t>
            </w:r>
          </w:p>
        </w:tc>
        <w:tc>
          <w:tcPr>
            <w:tcW w:w="6226" w:type="dxa"/>
            <w:tcBorders>
              <w:top w:val="nil"/>
              <w:left w:val="nil"/>
              <w:bottom w:val="nil"/>
              <w:right w:val="nil"/>
            </w:tcBorders>
          </w:tcPr>
          <w:p w:rsidR="00033C9D" w:rsidRDefault="00033C9D" w:rsidP="004E3D52">
            <w:pPr>
              <w:spacing w:line="259" w:lineRule="auto"/>
            </w:pPr>
            <w:r>
              <w:rPr>
                <w:rFonts w:ascii="Garamond" w:eastAsia="Garamond" w:hAnsi="Garamond" w:cs="Garamond"/>
                <w:color w:val="FF0000"/>
              </w:rPr>
              <w:t xml:space="preserve">[NAME] </w:t>
            </w:r>
            <w:r>
              <w:rPr>
                <w:rFonts w:ascii="Arial" w:eastAsia="Arial" w:hAnsi="Arial" w:cs="Arial"/>
                <w:b/>
              </w:rPr>
              <w:t xml:space="preserve">LOREN D. BRIDGES </w:t>
            </w:r>
          </w:p>
        </w:tc>
      </w:tr>
      <w:tr w:rsidR="00033C9D" w:rsidTr="004E3D52">
        <w:trPr>
          <w:trHeight w:val="564"/>
        </w:trPr>
        <w:tc>
          <w:tcPr>
            <w:tcW w:w="1440" w:type="dxa"/>
            <w:tcBorders>
              <w:top w:val="nil"/>
              <w:left w:val="nil"/>
              <w:bottom w:val="nil"/>
              <w:right w:val="nil"/>
            </w:tcBorders>
          </w:tcPr>
          <w:p w:rsidR="00033C9D" w:rsidRDefault="00033C9D" w:rsidP="004E3D52">
            <w:pPr>
              <w:spacing w:line="259" w:lineRule="auto"/>
            </w:pPr>
            <w:r>
              <w:rPr>
                <w:rFonts w:ascii="Garamond" w:eastAsia="Garamond" w:hAnsi="Garamond" w:cs="Garamond"/>
                <w:color w:val="FF0000"/>
              </w:rPr>
              <w:t xml:space="preserve"> </w:t>
            </w:r>
            <w:r>
              <w:rPr>
                <w:rFonts w:ascii="Garamond" w:eastAsia="Garamond" w:hAnsi="Garamond" w:cs="Garamond"/>
                <w:color w:val="FF0000"/>
              </w:rPr>
              <w:tab/>
              <w:t xml:space="preserve"> </w:t>
            </w:r>
          </w:p>
          <w:p w:rsidR="00033C9D" w:rsidRDefault="00033C9D" w:rsidP="004E3D52">
            <w:pPr>
              <w:spacing w:line="259" w:lineRule="auto"/>
            </w:pPr>
            <w:r>
              <w:rPr>
                <w:rFonts w:ascii="Arial" w:eastAsia="Arial" w:hAnsi="Arial" w:cs="Arial"/>
                <w:b/>
              </w:rPr>
              <w:t xml:space="preserve"> </w:t>
            </w:r>
          </w:p>
        </w:tc>
        <w:tc>
          <w:tcPr>
            <w:tcW w:w="6226" w:type="dxa"/>
            <w:tcBorders>
              <w:top w:val="nil"/>
              <w:left w:val="nil"/>
              <w:bottom w:val="nil"/>
              <w:right w:val="nil"/>
            </w:tcBorders>
          </w:tcPr>
          <w:p w:rsidR="00033C9D" w:rsidRDefault="00033C9D" w:rsidP="004E3D52">
            <w:pPr>
              <w:spacing w:line="259" w:lineRule="auto"/>
            </w:pPr>
            <w:r>
              <w:rPr>
                <w:rFonts w:ascii="Garamond" w:eastAsia="Garamond" w:hAnsi="Garamond" w:cs="Garamond"/>
                <w:color w:val="FF0000"/>
              </w:rPr>
              <w:t xml:space="preserve">[TITLE] </w:t>
            </w:r>
            <w:r>
              <w:rPr>
                <w:rFonts w:ascii="Arial" w:eastAsia="Arial" w:hAnsi="Arial" w:cs="Arial"/>
                <w:b/>
              </w:rPr>
              <w:t xml:space="preserve">CERTIFIED FRAUD EXAMINER </w:t>
            </w:r>
          </w:p>
        </w:tc>
      </w:tr>
      <w:tr w:rsidR="00033C9D" w:rsidTr="004E3D52">
        <w:trPr>
          <w:trHeight w:val="288"/>
        </w:trPr>
        <w:tc>
          <w:tcPr>
            <w:tcW w:w="1440" w:type="dxa"/>
            <w:tcBorders>
              <w:top w:val="nil"/>
              <w:left w:val="nil"/>
              <w:bottom w:val="nil"/>
              <w:right w:val="nil"/>
            </w:tcBorders>
          </w:tcPr>
          <w:p w:rsidR="00033C9D" w:rsidRDefault="00033C9D" w:rsidP="004E3D52">
            <w:pPr>
              <w:tabs>
                <w:tab w:val="center" w:pos="720"/>
              </w:tabs>
              <w:spacing w:line="259" w:lineRule="auto"/>
            </w:pPr>
            <w:r>
              <w:rPr>
                <w:rFonts w:ascii="Arial" w:eastAsia="Arial" w:hAnsi="Arial" w:cs="Arial"/>
                <w:b/>
              </w:rPr>
              <w:t xml:space="preserve">RE: </w:t>
            </w:r>
            <w:r>
              <w:rPr>
                <w:rFonts w:ascii="Arial" w:eastAsia="Arial" w:hAnsi="Arial" w:cs="Arial"/>
                <w:b/>
              </w:rPr>
              <w:tab/>
              <w:t xml:space="preserve"> </w:t>
            </w:r>
          </w:p>
        </w:tc>
        <w:tc>
          <w:tcPr>
            <w:tcW w:w="6226" w:type="dxa"/>
            <w:tcBorders>
              <w:top w:val="nil"/>
              <w:left w:val="nil"/>
              <w:bottom w:val="nil"/>
              <w:right w:val="nil"/>
            </w:tcBorders>
          </w:tcPr>
          <w:p w:rsidR="00033C9D" w:rsidRDefault="00033C9D" w:rsidP="004E3D52">
            <w:pPr>
              <w:spacing w:line="259" w:lineRule="auto"/>
            </w:pPr>
            <w:r>
              <w:rPr>
                <w:rFonts w:ascii="Garamond" w:eastAsia="Garamond" w:hAnsi="Garamond" w:cs="Garamond"/>
                <w:color w:val="FF0000"/>
              </w:rPr>
              <w:t xml:space="preserve">[SUBJECT LINE] </w:t>
            </w:r>
            <w:r>
              <w:rPr>
                <w:rFonts w:ascii="Arial" w:eastAsia="Arial" w:hAnsi="Arial" w:cs="Arial"/>
                <w:b/>
              </w:rPr>
              <w:t xml:space="preserve">EXAMINATION OF POTENTIAL ASSET </w:t>
            </w:r>
          </w:p>
        </w:tc>
      </w:tr>
      <w:tr w:rsidR="00033C9D" w:rsidTr="004E3D52">
        <w:trPr>
          <w:trHeight w:val="552"/>
        </w:trPr>
        <w:tc>
          <w:tcPr>
            <w:tcW w:w="1440" w:type="dxa"/>
            <w:tcBorders>
              <w:top w:val="nil"/>
              <w:left w:val="nil"/>
              <w:bottom w:val="nil"/>
              <w:right w:val="nil"/>
            </w:tcBorders>
          </w:tcPr>
          <w:p w:rsidR="00033C9D" w:rsidRDefault="00033C9D" w:rsidP="004E3D52">
            <w:pPr>
              <w:spacing w:line="259" w:lineRule="auto"/>
            </w:pPr>
            <w:r>
              <w:rPr>
                <w:rFonts w:ascii="Arial" w:eastAsia="Arial" w:hAnsi="Arial" w:cs="Arial"/>
                <w:b/>
              </w:rPr>
              <w:t xml:space="preserve"> </w:t>
            </w:r>
            <w:r>
              <w:rPr>
                <w:rFonts w:ascii="Arial" w:eastAsia="Arial" w:hAnsi="Arial" w:cs="Arial"/>
                <w:b/>
              </w:rPr>
              <w:tab/>
              <w:t xml:space="preserve"> </w:t>
            </w:r>
          </w:p>
          <w:p w:rsidR="00033C9D" w:rsidRDefault="00033C9D" w:rsidP="004E3D52">
            <w:pPr>
              <w:spacing w:line="259" w:lineRule="auto"/>
            </w:pPr>
            <w:r>
              <w:rPr>
                <w:rFonts w:ascii="Arial" w:eastAsia="Arial" w:hAnsi="Arial" w:cs="Arial"/>
                <w:b/>
              </w:rPr>
              <w:t xml:space="preserve"> </w:t>
            </w:r>
          </w:p>
        </w:tc>
        <w:tc>
          <w:tcPr>
            <w:tcW w:w="6226" w:type="dxa"/>
            <w:tcBorders>
              <w:top w:val="nil"/>
              <w:left w:val="nil"/>
              <w:bottom w:val="nil"/>
              <w:right w:val="nil"/>
            </w:tcBorders>
          </w:tcPr>
          <w:p w:rsidR="00033C9D" w:rsidRDefault="00033C9D" w:rsidP="004E3D52">
            <w:pPr>
              <w:spacing w:line="259" w:lineRule="auto"/>
            </w:pPr>
            <w:r>
              <w:rPr>
                <w:rFonts w:ascii="Arial" w:eastAsia="Arial" w:hAnsi="Arial" w:cs="Arial"/>
                <w:b/>
              </w:rPr>
              <w:t xml:space="preserve">MISAPPROPRIATION </w:t>
            </w:r>
          </w:p>
        </w:tc>
      </w:tr>
      <w:tr w:rsidR="00033C9D" w:rsidTr="004E3D52">
        <w:trPr>
          <w:trHeight w:val="287"/>
        </w:trPr>
        <w:tc>
          <w:tcPr>
            <w:tcW w:w="1440" w:type="dxa"/>
            <w:tcBorders>
              <w:top w:val="nil"/>
              <w:left w:val="nil"/>
              <w:bottom w:val="nil"/>
              <w:right w:val="nil"/>
            </w:tcBorders>
          </w:tcPr>
          <w:p w:rsidR="00033C9D" w:rsidRDefault="00033C9D" w:rsidP="004E3D52">
            <w:pPr>
              <w:spacing w:line="259" w:lineRule="auto"/>
            </w:pPr>
            <w:r>
              <w:rPr>
                <w:rFonts w:ascii="Arial" w:eastAsia="Arial" w:hAnsi="Arial" w:cs="Arial"/>
                <w:b/>
              </w:rPr>
              <w:t xml:space="preserve">DATE:  </w:t>
            </w:r>
          </w:p>
        </w:tc>
        <w:tc>
          <w:tcPr>
            <w:tcW w:w="6226" w:type="dxa"/>
            <w:tcBorders>
              <w:top w:val="nil"/>
              <w:left w:val="nil"/>
              <w:bottom w:val="nil"/>
              <w:right w:val="nil"/>
            </w:tcBorders>
          </w:tcPr>
          <w:p w:rsidR="00033C9D" w:rsidRDefault="00033C9D" w:rsidP="004E3D52">
            <w:pPr>
              <w:spacing w:line="259" w:lineRule="auto"/>
            </w:pPr>
            <w:r>
              <w:rPr>
                <w:rFonts w:ascii="Garamond" w:eastAsia="Garamond" w:hAnsi="Garamond" w:cs="Garamond"/>
                <w:color w:val="FF0000"/>
              </w:rPr>
              <w:t xml:space="preserve">[REPORT DATE] </w:t>
            </w:r>
            <w:r>
              <w:rPr>
                <w:rFonts w:ascii="Arial" w:eastAsia="Arial" w:hAnsi="Arial" w:cs="Arial"/>
                <w:b/>
              </w:rPr>
              <w:t xml:space="preserve">MAY 23, 2009 </w:t>
            </w:r>
          </w:p>
        </w:tc>
      </w:tr>
    </w:tbl>
    <w:p w:rsidR="00033C9D" w:rsidRDefault="00033C9D" w:rsidP="00033C9D">
      <w:pPr>
        <w:spacing w:after="316" w:line="259" w:lineRule="auto"/>
      </w:pPr>
      <w:r>
        <w:rPr>
          <w:rFonts w:ascii="Arial" w:eastAsia="Arial" w:hAnsi="Arial" w:cs="Arial"/>
          <w:b/>
        </w:rPr>
        <w:t>_____________________________________________________________________</w:t>
      </w:r>
      <w:r>
        <w:t xml:space="preserve"> </w:t>
      </w:r>
    </w:p>
    <w:p w:rsidR="00033C9D" w:rsidRDefault="00033C9D" w:rsidP="00033C9D">
      <w:pPr>
        <w:numPr>
          <w:ilvl w:val="0"/>
          <w:numId w:val="28"/>
        </w:numPr>
        <w:spacing w:after="306" w:line="265" w:lineRule="auto"/>
        <w:ind w:hanging="307"/>
        <w:jc w:val="both"/>
      </w:pPr>
      <w:r>
        <w:rPr>
          <w:rFonts w:ascii="Times New Roman" w:eastAsia="Times New Roman" w:hAnsi="Times New Roman" w:cs="Times New Roman"/>
          <w:b/>
        </w:rPr>
        <w:t xml:space="preserve">Background </w:t>
      </w:r>
    </w:p>
    <w:p w:rsidR="00033C9D" w:rsidRDefault="00033C9D" w:rsidP="00033C9D">
      <w:pPr>
        <w:ind w:left="-5"/>
      </w:pPr>
      <w:r>
        <w:t xml:space="preserve">[The background section should generally be about two paragraphs. It should state very succinctly why the fraud examination was conducted (e.g., an anonymous tip was received, an anomaly was discovered during an audit, money or property was missing). </w:t>
      </w:r>
    </w:p>
    <w:p w:rsidR="00033C9D" w:rsidRDefault="00033C9D" w:rsidP="00033C9D">
      <w:pPr>
        <w:spacing w:after="314" w:line="259" w:lineRule="auto"/>
        <w:ind w:left="-5"/>
      </w:pPr>
      <w:r>
        <w:t xml:space="preserve">You may also state who called for the examination and who assembled the examination team.] </w:t>
      </w:r>
    </w:p>
    <w:p w:rsidR="00033C9D" w:rsidRDefault="00033C9D" w:rsidP="00033C9D">
      <w:pPr>
        <w:ind w:left="-5"/>
      </w:pPr>
      <w:r>
        <w:t xml:space="preserve">On January 28, 2009, the fraud examination unit at Bailey Books received an anonymous telephone call on its fraud hotline from an unidentified man who claimed that he was a former supplier to Bailey. The caller alleged certain improprieties in the bidding and procurement process. </w:t>
      </w:r>
    </w:p>
    <w:p w:rsidR="00033C9D" w:rsidRDefault="00033C9D" w:rsidP="00033C9D">
      <w:pPr>
        <w:ind w:left="-5"/>
      </w:pPr>
      <w:r>
        <w:t xml:space="preserve">Based upon this initial predication, a fraud examination was conducted, which included reviews of relevant records and interviews of appropriate personnel. </w:t>
      </w:r>
    </w:p>
    <w:p w:rsidR="00033C9D" w:rsidRDefault="00033C9D" w:rsidP="00033C9D">
      <w:pPr>
        <w:numPr>
          <w:ilvl w:val="0"/>
          <w:numId w:val="28"/>
        </w:numPr>
        <w:spacing w:after="306" w:line="265" w:lineRule="auto"/>
        <w:ind w:hanging="307"/>
        <w:jc w:val="both"/>
      </w:pPr>
      <w:r>
        <w:rPr>
          <w:rFonts w:ascii="Times New Roman" w:eastAsia="Times New Roman" w:hAnsi="Times New Roman" w:cs="Times New Roman"/>
          <w:b/>
        </w:rPr>
        <w:t xml:space="preserve">Executive Summary </w:t>
      </w:r>
    </w:p>
    <w:p w:rsidR="00033C9D" w:rsidRDefault="00033C9D" w:rsidP="00033C9D">
      <w:pPr>
        <w:ind w:left="-5"/>
      </w:pPr>
      <w:r>
        <w:t xml:space="preserve">[For a simple fraud examination, the executive summary should be no more than four or five paragraphs. For a more complex case, the summary may reach a page in length. </w:t>
      </w:r>
    </w:p>
    <w:p w:rsidR="00033C9D" w:rsidRDefault="00033C9D" w:rsidP="00033C9D">
      <w:pPr>
        <w:ind w:left="-5"/>
      </w:pPr>
      <w:r>
        <w:t xml:space="preserve">In this section, you should also summarize what actions you performed during the fraud examination, such as reviewing documents, interviewing witnesses, conducting analyses or tests, etc. </w:t>
      </w:r>
    </w:p>
    <w:p w:rsidR="00033C9D" w:rsidRDefault="00033C9D" w:rsidP="00033C9D">
      <w:pPr>
        <w:spacing w:after="314" w:line="259" w:lineRule="auto"/>
        <w:ind w:left="-5"/>
      </w:pPr>
      <w:r>
        <w:t xml:space="preserve">It provides the reader with an overview of what you did during the examination process. </w:t>
      </w:r>
    </w:p>
    <w:p w:rsidR="00033C9D" w:rsidRDefault="00033C9D" w:rsidP="00033C9D">
      <w:pPr>
        <w:spacing w:after="345" w:line="259" w:lineRule="auto"/>
        <w:ind w:left="-5"/>
      </w:pPr>
      <w:r>
        <w:lastRenderedPageBreak/>
        <w:t xml:space="preserve">At the end of this section, you should summarize the outcome of the examination. For example, </w:t>
      </w:r>
    </w:p>
    <w:p w:rsidR="00033C9D" w:rsidRDefault="00033C9D" w:rsidP="00033C9D">
      <w:pPr>
        <w:ind w:left="-5"/>
      </w:pPr>
      <w:r>
        <w:t xml:space="preserve">―$50,000 in checks was deposited into an account owned by Bob Wilson. When confronted with this information, Wilson stated that he had only borrowed the money and meant to pay it back.‖] </w:t>
      </w:r>
    </w:p>
    <w:p w:rsidR="00033C9D" w:rsidRDefault="00033C9D" w:rsidP="00033C9D">
      <w:pPr>
        <w:ind w:left="-5"/>
      </w:pPr>
      <w:r>
        <w:t xml:space="preserve">The fraud examination commenced when Loren D. Bridges, CFE, received a telephone call from an unidentified man who said that he had been a long-term supplier to Bailey for sundry office supplies and paper. The caller said that ever since Linda Reed Collins had taken over as Purchasing Manager, he had been gradually ―squeezed out‖ from doing business with Bailey. </w:t>
      </w:r>
    </w:p>
    <w:p w:rsidR="00033C9D" w:rsidRDefault="00033C9D" w:rsidP="00033C9D">
      <w:pPr>
        <w:ind w:left="-5"/>
      </w:pPr>
      <w:r>
        <w:t xml:space="preserve">Linda Reed Collins has been employed in the purchasing department of Bailey Books since June 1, 2004. She was promoted to Purchasing Manager effective November 8, 2006. </w:t>
      </w:r>
    </w:p>
    <w:p w:rsidR="00033C9D" w:rsidRDefault="00033C9D" w:rsidP="00033C9D">
      <w:pPr>
        <w:ind w:left="-5"/>
      </w:pPr>
      <w:r>
        <w:t xml:space="preserve">The Fraud Examination Team reviewed selected purchases from 2006 to 2007 and conducted interviews of key participants and Bailey employees who we believed may have information regarding the misappropriation of assets. The Team reviewed purchasing guidelines, personnel files of interviewees, and various financial documents relating to both Bailey Books and Linda Reed Collins. </w:t>
      </w:r>
    </w:p>
    <w:p w:rsidR="00033C9D" w:rsidRDefault="00033C9D" w:rsidP="00033C9D">
      <w:pPr>
        <w:ind w:left="-5"/>
      </w:pPr>
      <w:r>
        <w:t xml:space="preserve">After obtaining sufficient documentation, the Team interviewed Linda Reed Collins, who gave a full signed confession to her misdeeds. </w:t>
      </w:r>
    </w:p>
    <w:p w:rsidR="00033C9D" w:rsidRDefault="00033C9D" w:rsidP="00033C9D">
      <w:pPr>
        <w:spacing w:after="306" w:line="265" w:lineRule="auto"/>
        <w:ind w:left="-5"/>
      </w:pPr>
      <w:r>
        <w:rPr>
          <w:rFonts w:ascii="Times New Roman" w:eastAsia="Times New Roman" w:hAnsi="Times New Roman" w:cs="Times New Roman"/>
          <w:b/>
        </w:rPr>
        <w:t xml:space="preserve">III. Scope </w:t>
      </w:r>
    </w:p>
    <w:p w:rsidR="00033C9D" w:rsidRDefault="00033C9D" w:rsidP="00033C9D">
      <w:pPr>
        <w:ind w:left="-5"/>
      </w:pPr>
      <w:r>
        <w:t>[This section should consist of just one paragraph explaining what the scope of the fraud examination was. For example, ―Determine whether or not inventory was misappropriated from the warehouse</w:t>
      </w:r>
      <w:proofErr w:type="gramStart"/>
      <w:r>
        <w:t>,‖</w:t>
      </w:r>
      <w:proofErr w:type="gramEnd"/>
      <w:r>
        <w:t xml:space="preserve"> or ―Determine why money is missing from the bank account.‖] </w:t>
      </w:r>
    </w:p>
    <w:p w:rsidR="00033C9D" w:rsidRDefault="00033C9D" w:rsidP="00033C9D">
      <w:pPr>
        <w:spacing w:after="340" w:line="259" w:lineRule="auto"/>
        <w:ind w:left="-5"/>
      </w:pPr>
      <w:r>
        <w:t xml:space="preserve">The objective of the Fraud Examination Team was as follows: </w:t>
      </w:r>
    </w:p>
    <w:p w:rsidR="00033C9D" w:rsidRDefault="00033C9D" w:rsidP="00033C9D">
      <w:pPr>
        <w:ind w:left="-5"/>
      </w:pPr>
      <w:r>
        <w:t xml:space="preserve">• Determine the existence of a possible misappropriation of assets of Bailey Books, Incorporated. The examination is predicated upon an anonymous telephone call alleging improprieties on the part of Linda Reed Collins, Bailey‘s purchasing manager </w:t>
      </w:r>
    </w:p>
    <w:p w:rsidR="00033C9D" w:rsidRDefault="00033C9D" w:rsidP="00033C9D">
      <w:pPr>
        <w:spacing w:after="306" w:line="265" w:lineRule="auto"/>
        <w:ind w:left="-5"/>
      </w:pPr>
      <w:r>
        <w:rPr>
          <w:rFonts w:ascii="Times New Roman" w:eastAsia="Times New Roman" w:hAnsi="Times New Roman" w:cs="Times New Roman"/>
          <w:b/>
        </w:rPr>
        <w:t xml:space="preserve">V. Approach </w:t>
      </w:r>
    </w:p>
    <w:p w:rsidR="00033C9D" w:rsidRDefault="00033C9D" w:rsidP="00033C9D">
      <w:pPr>
        <w:spacing w:after="361" w:line="259" w:lineRule="auto"/>
        <w:ind w:left="-5"/>
      </w:pPr>
      <w:r>
        <w:t xml:space="preserve">[This section gives a brief description of the following items: </w:t>
      </w:r>
    </w:p>
    <w:p w:rsidR="00033C9D" w:rsidRDefault="00033C9D" w:rsidP="00033C9D">
      <w:pPr>
        <w:numPr>
          <w:ilvl w:val="0"/>
          <w:numId w:val="29"/>
        </w:numPr>
        <w:spacing w:after="355" w:line="259" w:lineRule="auto"/>
        <w:ind w:right="2" w:hanging="146"/>
        <w:jc w:val="both"/>
      </w:pPr>
      <w:r>
        <w:t xml:space="preserve">Fraud examination team members </w:t>
      </w:r>
    </w:p>
    <w:p w:rsidR="00033C9D" w:rsidRDefault="00033C9D" w:rsidP="00033C9D">
      <w:pPr>
        <w:numPr>
          <w:ilvl w:val="0"/>
          <w:numId w:val="29"/>
        </w:numPr>
        <w:spacing w:after="360" w:line="259" w:lineRule="auto"/>
        <w:ind w:right="2" w:hanging="146"/>
        <w:jc w:val="both"/>
      </w:pPr>
      <w:r>
        <w:t xml:space="preserve">Procedures (generally what documents were reviewed or what tests were conducted) </w:t>
      </w:r>
    </w:p>
    <w:p w:rsidR="00033C9D" w:rsidRDefault="00033C9D" w:rsidP="00033C9D">
      <w:pPr>
        <w:numPr>
          <w:ilvl w:val="0"/>
          <w:numId w:val="29"/>
        </w:numPr>
        <w:spacing w:after="314" w:line="259" w:lineRule="auto"/>
        <w:ind w:right="2" w:hanging="146"/>
        <w:jc w:val="both"/>
      </w:pPr>
      <w:r>
        <w:t xml:space="preserve">Individuals interviewed </w:t>
      </w:r>
    </w:p>
    <w:p w:rsidR="00033C9D" w:rsidRDefault="00033C9D" w:rsidP="00033C9D">
      <w:pPr>
        <w:ind w:left="-5"/>
      </w:pPr>
      <w:r>
        <w:lastRenderedPageBreak/>
        <w:t xml:space="preserve">It provides a handy reference as to who was involved in the fraud examination, what the team reviewed, what tests or analyses were conducted, and what individuals the team interviewed.] </w:t>
      </w:r>
    </w:p>
    <w:p w:rsidR="00033C9D" w:rsidRDefault="00033C9D" w:rsidP="00033C9D">
      <w:pPr>
        <w:spacing w:after="306" w:line="265" w:lineRule="auto"/>
        <w:ind w:left="-5"/>
      </w:pPr>
      <w:r>
        <w:rPr>
          <w:rFonts w:ascii="Times New Roman" w:eastAsia="Times New Roman" w:hAnsi="Times New Roman" w:cs="Times New Roman"/>
          <w:b/>
        </w:rPr>
        <w:t xml:space="preserve">Fraud Examination Team Members </w:t>
      </w:r>
    </w:p>
    <w:p w:rsidR="00033C9D" w:rsidRDefault="00033C9D" w:rsidP="00033C9D">
      <w:pPr>
        <w:spacing w:after="0" w:line="534" w:lineRule="auto"/>
        <w:ind w:left="-5" w:right="955"/>
      </w:pPr>
      <w:r>
        <w:t xml:space="preserve">Loren D. Bridges, CFE, Bailey Books; Tonya Vincent, CFE, Bailey Books </w:t>
      </w:r>
      <w:r>
        <w:rPr>
          <w:rFonts w:ascii="Times New Roman" w:eastAsia="Times New Roman" w:hAnsi="Times New Roman" w:cs="Times New Roman"/>
          <w:b/>
        </w:rPr>
        <w:t xml:space="preserve">Procedures </w:t>
      </w:r>
    </w:p>
    <w:p w:rsidR="00033C9D" w:rsidRDefault="00033C9D" w:rsidP="00033C9D">
      <w:pPr>
        <w:spacing w:after="343" w:line="259" w:lineRule="auto"/>
        <w:ind w:left="-5"/>
      </w:pPr>
      <w:r>
        <w:t xml:space="preserve">As part of the examination of this matter, the Team took the following actions: </w:t>
      </w:r>
    </w:p>
    <w:p w:rsidR="00033C9D" w:rsidRDefault="00033C9D" w:rsidP="00033C9D">
      <w:pPr>
        <w:numPr>
          <w:ilvl w:val="0"/>
          <w:numId w:val="29"/>
        </w:numPr>
        <w:spacing w:after="222" w:line="367" w:lineRule="auto"/>
        <w:ind w:right="2" w:hanging="146"/>
        <w:jc w:val="both"/>
      </w:pPr>
      <w:r>
        <w:t xml:space="preserve">Obtained, reviewed, and analyzed memoranda pertaining to the anonymous call described previously. </w:t>
      </w:r>
    </w:p>
    <w:p w:rsidR="00033C9D" w:rsidRDefault="00033C9D" w:rsidP="00033C9D">
      <w:pPr>
        <w:numPr>
          <w:ilvl w:val="0"/>
          <w:numId w:val="29"/>
        </w:numPr>
        <w:spacing w:after="232" w:line="367" w:lineRule="auto"/>
        <w:ind w:right="2" w:hanging="146"/>
        <w:jc w:val="both"/>
      </w:pPr>
      <w:r>
        <w:t xml:space="preserve">Obtained, reviewed, and analyzed Bailey </w:t>
      </w:r>
      <w:proofErr w:type="gramStart"/>
      <w:r>
        <w:t>Books‘ financial</w:t>
      </w:r>
      <w:proofErr w:type="gramEnd"/>
      <w:r>
        <w:t xml:space="preserve"> documentation, including purchase records, invoices, and canceled checks. </w:t>
      </w:r>
    </w:p>
    <w:p w:rsidR="00033C9D" w:rsidRDefault="00033C9D" w:rsidP="00033C9D">
      <w:pPr>
        <w:numPr>
          <w:ilvl w:val="0"/>
          <w:numId w:val="29"/>
        </w:numPr>
        <w:spacing w:after="13" w:line="367" w:lineRule="auto"/>
        <w:ind w:right="2" w:hanging="146"/>
        <w:jc w:val="both"/>
      </w:pPr>
      <w:r>
        <w:t xml:space="preserve">Obtained, reviewed, and analyzed records from the St. Augustine County Courthouse regarding civil actions in which Edward J. Collins and Linda Reed Collins were named; records from the </w:t>
      </w:r>
    </w:p>
    <w:p w:rsidR="00033C9D" w:rsidRDefault="00033C9D" w:rsidP="00033C9D">
      <w:pPr>
        <w:spacing w:after="224"/>
        <w:ind w:left="-5"/>
      </w:pPr>
      <w:r>
        <w:t xml:space="preserve">Florida Secretary of State‘s Office regarding Collins Marine Corporation; records of chattel mortgages held by Linda Reed Collins and Edward J. Collins; financial records from Dun &amp; Bradstreet regarding Collins Marine Corporation; and public records regarding the financial condition of Linda Reed Collins and Edward J. Collins. </w:t>
      </w:r>
    </w:p>
    <w:p w:rsidR="00033C9D" w:rsidRDefault="00033C9D" w:rsidP="00033C9D">
      <w:pPr>
        <w:numPr>
          <w:ilvl w:val="0"/>
          <w:numId w:val="29"/>
        </w:numPr>
        <w:spacing w:after="192" w:line="367" w:lineRule="auto"/>
        <w:ind w:right="2" w:hanging="146"/>
        <w:jc w:val="both"/>
      </w:pPr>
      <w:r>
        <w:t xml:space="preserve">Conducted surveillance activity in order to determine whether the two key individuals in the matter were involved in an illicit relationship. </w:t>
      </w:r>
    </w:p>
    <w:p w:rsidR="00033C9D" w:rsidRDefault="00033C9D" w:rsidP="00033C9D">
      <w:pPr>
        <w:ind w:left="-5"/>
      </w:pPr>
      <w:r>
        <w:t xml:space="preserve">Individuals Interviewed: The following individuals were interviewed in person by members of the Fraud </w:t>
      </w:r>
    </w:p>
    <w:p w:rsidR="00033C9D" w:rsidRDefault="00033C9D" w:rsidP="00033C9D">
      <w:pPr>
        <w:spacing w:after="351" w:line="265" w:lineRule="auto"/>
        <w:ind w:left="-5"/>
      </w:pPr>
      <w:r>
        <w:rPr>
          <w:rFonts w:ascii="Times New Roman" w:eastAsia="Times New Roman" w:hAnsi="Times New Roman" w:cs="Times New Roman"/>
          <w:b/>
        </w:rPr>
        <w:t xml:space="preserve">Examination Team: </w:t>
      </w:r>
    </w:p>
    <w:p w:rsidR="00033C9D" w:rsidRDefault="00033C9D" w:rsidP="00033C9D">
      <w:pPr>
        <w:numPr>
          <w:ilvl w:val="0"/>
          <w:numId w:val="29"/>
        </w:numPr>
        <w:spacing w:after="345" w:line="259" w:lineRule="auto"/>
        <w:ind w:right="2" w:hanging="146"/>
        <w:jc w:val="both"/>
      </w:pPr>
      <w:r>
        <w:t xml:space="preserve">Mark W. Steinberg, CPA (Chief Financial Officer, Bailey Books) </w:t>
      </w:r>
    </w:p>
    <w:p w:rsidR="00033C9D" w:rsidRDefault="00033C9D" w:rsidP="00033C9D">
      <w:pPr>
        <w:numPr>
          <w:ilvl w:val="0"/>
          <w:numId w:val="29"/>
        </w:numPr>
        <w:spacing w:after="359" w:line="259" w:lineRule="auto"/>
        <w:ind w:right="2" w:hanging="146"/>
        <w:jc w:val="both"/>
      </w:pPr>
      <w:r>
        <w:t xml:space="preserve">Roger Donald McGuire (Purchasing Agent, Bailey Books) </w:t>
      </w:r>
    </w:p>
    <w:p w:rsidR="00033C9D" w:rsidRDefault="00033C9D" w:rsidP="00033C9D">
      <w:pPr>
        <w:numPr>
          <w:ilvl w:val="0"/>
          <w:numId w:val="29"/>
        </w:numPr>
        <w:spacing w:after="361" w:line="259" w:lineRule="auto"/>
        <w:ind w:right="2" w:hanging="146"/>
        <w:jc w:val="both"/>
      </w:pPr>
      <w:r>
        <w:t xml:space="preserve">Mary Rodriguez De La Garza (Purchasing Agent, Bailey Books) </w:t>
      </w:r>
    </w:p>
    <w:p w:rsidR="00033C9D" w:rsidRDefault="00033C9D" w:rsidP="00033C9D">
      <w:pPr>
        <w:numPr>
          <w:ilvl w:val="0"/>
          <w:numId w:val="29"/>
        </w:numPr>
        <w:spacing w:after="361" w:line="259" w:lineRule="auto"/>
        <w:ind w:right="2" w:hanging="146"/>
        <w:jc w:val="both"/>
      </w:pPr>
      <w:r>
        <w:t xml:space="preserve">Sara Louise Dawson (Former Employee, Bailey Books) </w:t>
      </w:r>
    </w:p>
    <w:p w:rsidR="00033C9D" w:rsidRDefault="00033C9D" w:rsidP="00033C9D">
      <w:pPr>
        <w:numPr>
          <w:ilvl w:val="0"/>
          <w:numId w:val="29"/>
        </w:numPr>
        <w:spacing w:after="361" w:line="259" w:lineRule="auto"/>
        <w:ind w:right="2" w:hanging="146"/>
        <w:jc w:val="both"/>
      </w:pPr>
      <w:r>
        <w:t xml:space="preserve">Thomas C. Green (Attorney, Sharp, Green and </w:t>
      </w:r>
      <w:proofErr w:type="spellStart"/>
      <w:r>
        <w:t>Langfrom</w:t>
      </w:r>
      <w:proofErr w:type="spellEnd"/>
      <w:r>
        <w:t xml:space="preserve">, P.A.) </w:t>
      </w:r>
    </w:p>
    <w:p w:rsidR="00033C9D" w:rsidRDefault="00033C9D" w:rsidP="00033C9D">
      <w:pPr>
        <w:numPr>
          <w:ilvl w:val="0"/>
          <w:numId w:val="29"/>
        </w:numPr>
        <w:spacing w:after="314" w:line="259" w:lineRule="auto"/>
        <w:ind w:right="2" w:hanging="146"/>
        <w:jc w:val="both"/>
      </w:pPr>
      <w:r>
        <w:t xml:space="preserve">Lincoln S. </w:t>
      </w:r>
      <w:proofErr w:type="spellStart"/>
      <w:r>
        <w:t>Wyzokowski</w:t>
      </w:r>
      <w:proofErr w:type="spellEnd"/>
      <w:r>
        <w:t xml:space="preserve"> (General Counsel, Bailey Books) </w:t>
      </w:r>
    </w:p>
    <w:p w:rsidR="00033C9D" w:rsidRDefault="00033C9D" w:rsidP="00033C9D">
      <w:pPr>
        <w:spacing w:after="361" w:line="259" w:lineRule="auto"/>
        <w:ind w:left="-5"/>
      </w:pPr>
      <w:r>
        <w:lastRenderedPageBreak/>
        <w:t xml:space="preserve">Becky Robinson (Accounts Payable Clerk, Bailey Books) </w:t>
      </w:r>
    </w:p>
    <w:p w:rsidR="00033C9D" w:rsidRDefault="00033C9D" w:rsidP="00033C9D">
      <w:pPr>
        <w:numPr>
          <w:ilvl w:val="0"/>
          <w:numId w:val="29"/>
        </w:numPr>
        <w:spacing w:after="359" w:line="259" w:lineRule="auto"/>
        <w:ind w:right="2" w:hanging="146"/>
        <w:jc w:val="both"/>
      </w:pPr>
      <w:r>
        <w:t xml:space="preserve">Ernie Quincy (Warehouse Manager, Bailey Books) </w:t>
      </w:r>
    </w:p>
    <w:p w:rsidR="00033C9D" w:rsidRDefault="00033C9D" w:rsidP="00033C9D">
      <w:pPr>
        <w:numPr>
          <w:ilvl w:val="0"/>
          <w:numId w:val="29"/>
        </w:numPr>
        <w:spacing w:after="361" w:line="259" w:lineRule="auto"/>
        <w:ind w:right="2" w:hanging="146"/>
        <w:jc w:val="both"/>
      </w:pPr>
      <w:r>
        <w:t xml:space="preserve">David Levey (Director of Sales, </w:t>
      </w:r>
      <w:proofErr w:type="spellStart"/>
      <w:r>
        <w:t>Jerrico</w:t>
      </w:r>
      <w:proofErr w:type="spellEnd"/>
      <w:r>
        <w:t xml:space="preserve"> International Paper Company) </w:t>
      </w:r>
    </w:p>
    <w:p w:rsidR="00033C9D" w:rsidRDefault="00033C9D" w:rsidP="00033C9D">
      <w:pPr>
        <w:numPr>
          <w:ilvl w:val="0"/>
          <w:numId w:val="29"/>
        </w:numPr>
        <w:spacing w:after="326" w:line="259" w:lineRule="auto"/>
        <w:ind w:right="2" w:hanging="146"/>
        <w:jc w:val="both"/>
      </w:pPr>
      <w:r>
        <w:t xml:space="preserve">James R. Nagel (Sales Representative, Orion Corporation) </w:t>
      </w:r>
    </w:p>
    <w:p w:rsidR="00033C9D" w:rsidRDefault="00033C9D" w:rsidP="00033C9D">
      <w:pPr>
        <w:numPr>
          <w:ilvl w:val="0"/>
          <w:numId w:val="29"/>
        </w:numPr>
        <w:spacing w:after="362" w:line="259" w:lineRule="auto"/>
        <w:ind w:right="2" w:hanging="146"/>
        <w:jc w:val="both"/>
      </w:pPr>
      <w:r>
        <w:t xml:space="preserve">Owen </w:t>
      </w:r>
      <w:proofErr w:type="spellStart"/>
      <w:r>
        <w:t>Stetford</w:t>
      </w:r>
      <w:proofErr w:type="spellEnd"/>
      <w:r>
        <w:t xml:space="preserve"> (Chief Financial Officer, Orion Corporation) </w:t>
      </w:r>
    </w:p>
    <w:p w:rsidR="00033C9D" w:rsidRDefault="00033C9D" w:rsidP="00033C9D">
      <w:pPr>
        <w:numPr>
          <w:ilvl w:val="0"/>
          <w:numId w:val="29"/>
        </w:numPr>
        <w:spacing w:after="319" w:line="259" w:lineRule="auto"/>
        <w:ind w:right="2" w:hanging="146"/>
        <w:jc w:val="both"/>
      </w:pPr>
      <w:r>
        <w:t xml:space="preserve">Linda Reed Collins (Purchasing Manager, Bailey Books) </w:t>
      </w:r>
    </w:p>
    <w:p w:rsidR="00033C9D" w:rsidRDefault="00033C9D" w:rsidP="00033C9D">
      <w:pPr>
        <w:spacing w:after="306" w:line="265" w:lineRule="auto"/>
        <w:ind w:left="-5"/>
      </w:pPr>
      <w:r>
        <w:rPr>
          <w:rFonts w:ascii="Times New Roman" w:eastAsia="Times New Roman" w:hAnsi="Times New Roman" w:cs="Times New Roman"/>
          <w:b/>
        </w:rPr>
        <w:t xml:space="preserve">V. Findings </w:t>
      </w:r>
    </w:p>
    <w:p w:rsidR="00033C9D" w:rsidRDefault="00033C9D" w:rsidP="00033C9D">
      <w:pPr>
        <w:ind w:left="-5"/>
      </w:pPr>
      <w:r>
        <w:t xml:space="preserve">[This section contains the details of the fraud examination. It will generally consist of several pages. </w:t>
      </w:r>
    </w:p>
    <w:p w:rsidR="00033C9D" w:rsidRDefault="00033C9D" w:rsidP="00033C9D">
      <w:pPr>
        <w:ind w:left="-5"/>
      </w:pPr>
      <w:r>
        <w:t xml:space="preserve">In this section you should describe what tasks you performed and what you found. Provide enough detail so that the reader understands what occurred, but not so much detail that the reader begins to lose interest or becomes bogged down in the details. The reader wants to know how many invoices were forged, who was involved, how did they do it, what proof do you have, etc. </w:t>
      </w:r>
    </w:p>
    <w:p w:rsidR="00033C9D" w:rsidRDefault="00033C9D" w:rsidP="00033C9D">
      <w:pPr>
        <w:ind w:left="-5"/>
      </w:pPr>
      <w:r>
        <w:t xml:space="preserve">If the findings section is long, you may wish to use subheadings for particular topics or individuals to make it easier for the reader to stay organized. </w:t>
      </w:r>
    </w:p>
    <w:p w:rsidR="00033C9D" w:rsidRDefault="00033C9D" w:rsidP="00033C9D">
      <w:pPr>
        <w:ind w:left="-5"/>
      </w:pPr>
      <w:r>
        <w:t xml:space="preserve">The information can be presented either chronologically or by topic — whatever makes it easier for the reader to follow.] </w:t>
      </w:r>
    </w:p>
    <w:p w:rsidR="00033C9D" w:rsidRDefault="00033C9D" w:rsidP="00033C9D">
      <w:pPr>
        <w:ind w:left="-5"/>
      </w:pPr>
      <w:r>
        <w:t xml:space="preserve">Based on the documents reviewed, information collected, and interviews conducted during the course of the fraud examination, the Team finds as follows: </w:t>
      </w:r>
    </w:p>
    <w:p w:rsidR="00033C9D" w:rsidRDefault="00033C9D" w:rsidP="00033C9D">
      <w:pPr>
        <w:ind w:left="-5"/>
      </w:pPr>
      <w:r>
        <w:t xml:space="preserve">• Did the Fraud Examination Team determine the existence of a possible misappropriation of assets of Bailey Books Incorporated? </w:t>
      </w:r>
    </w:p>
    <w:p w:rsidR="00033C9D" w:rsidRDefault="00033C9D" w:rsidP="00033C9D">
      <w:pPr>
        <w:ind w:left="-5"/>
      </w:pPr>
      <w:r>
        <w:t xml:space="preserve">Yes. The documents and information reviewed and interviews conducted by the Fraud Examination </w:t>
      </w:r>
    </w:p>
    <w:p w:rsidR="00033C9D" w:rsidRDefault="00033C9D" w:rsidP="00033C9D">
      <w:pPr>
        <w:ind w:left="-5"/>
      </w:pPr>
      <w:r>
        <w:t xml:space="preserve">Team during the course of the examination indicate that Linda Reed Collins, together with James R. Nagel, did knowingly embezzle approximately $197,773 from Bailey Books over four years. During the fraud examination, the Team analyzed financial documents and conducted interviews to corroborate the statements of an anonymous caller. The following is a summary of the evidence and information supporting the Fraud Examination Team‘s findings: </w:t>
      </w:r>
    </w:p>
    <w:p w:rsidR="00033C9D" w:rsidRDefault="00033C9D" w:rsidP="00033C9D">
      <w:pPr>
        <w:spacing w:after="312" w:line="259" w:lineRule="auto"/>
        <w:ind w:left="-5"/>
      </w:pPr>
      <w:r>
        <w:t xml:space="preserve">On January 28, 2009, an anonymous call was received by the fraud hotline at Bailey Books, </w:t>
      </w:r>
    </w:p>
    <w:p w:rsidR="00033C9D" w:rsidRDefault="00033C9D" w:rsidP="00033C9D">
      <w:pPr>
        <w:spacing w:after="315" w:line="259" w:lineRule="auto"/>
        <w:ind w:left="-5"/>
      </w:pPr>
      <w:r>
        <w:lastRenderedPageBreak/>
        <w:t xml:space="preserve">Incorporated, from a former supplier to Bailey Books. The caller alleged that after Linda Reed </w:t>
      </w:r>
    </w:p>
    <w:p w:rsidR="00033C9D" w:rsidRDefault="00033C9D" w:rsidP="00033C9D">
      <w:pPr>
        <w:ind w:left="-5"/>
      </w:pPr>
      <w:r>
        <w:t xml:space="preserve">Collins took over as Purchasing Manager in 2006, she eliminated him as a supplier. A subsequent review of purchases made by Bailey Books from 2006 to 2008 showed that a continuously increasing share of the company‘s paper business was being given to Orion Corp., even though Orion submitted written bids in only 63 percent of the cases. </w:t>
      </w:r>
    </w:p>
    <w:p w:rsidR="00033C9D" w:rsidRDefault="00033C9D" w:rsidP="00033C9D">
      <w:pPr>
        <w:ind w:left="-5"/>
      </w:pPr>
      <w:r>
        <w:t xml:space="preserve">On February 1, 2009, Mark W. Steinberg, CFO of Bailey Books, Inc., was interviewed. The purpose of the interview was to inform him of the proposed fraud examination, obtain his approval, and secure information from him regarding the purchasing process at Bailey Books. In addition to summarizing his responsibilities regarding purchasing at Bailey Books, Mr. Steinberg stated that in </w:t>
      </w:r>
    </w:p>
    <w:p w:rsidR="00033C9D" w:rsidRDefault="00033C9D" w:rsidP="00033C9D">
      <w:pPr>
        <w:spacing w:after="221"/>
        <w:ind w:left="-5"/>
      </w:pPr>
      <w:r>
        <w:t xml:space="preserve">December 2006 he sent a memo to all the division heads at Bailey Books informing them that all purchases over $50,000 would from then on require at least three written bids. </w:t>
      </w:r>
    </w:p>
    <w:p w:rsidR="00033C9D" w:rsidRDefault="00033C9D" w:rsidP="00033C9D">
      <w:pPr>
        <w:ind w:left="-5"/>
      </w:pPr>
      <w:r>
        <w:t xml:space="preserve">We next examined the personnel records. A review of Linda Reed Collins‘s file showed only that she had been consistently rated ―exceptional‖ by her supervisors in annual reviews. </w:t>
      </w:r>
    </w:p>
    <w:p w:rsidR="00033C9D" w:rsidRDefault="00033C9D" w:rsidP="00033C9D">
      <w:pPr>
        <w:ind w:left="-5"/>
      </w:pPr>
      <w:r>
        <w:t xml:space="preserve">On February 4, 2009, an interview was conducted with Roger Donald McGuire, Purchasing Agent at Bailey Books. After summarizing the purchasing process at Bailey Books, he stated that he had no knowledge of any improprieties committed by Ms. Collins. </w:t>
      </w:r>
    </w:p>
    <w:p w:rsidR="00033C9D" w:rsidRDefault="00033C9D" w:rsidP="00033C9D">
      <w:pPr>
        <w:ind w:left="-5"/>
      </w:pPr>
      <w:r>
        <w:t xml:space="preserve">The next interview conducted was with Mary Rodriguez De La Garza, a coworker of Ms. Collins‘s in the Purchasing Department at Bailey Books. During the interview Ms. De La Garza stated that, regarding the purchasing process, it is sometimes not practical to obtain bids, such as in emergency situations or when they are short on time. She went on to reveal that she had suspected Ms. Collins was having an affair with James R. Nagel, the salesman for Orion Corp. In addition, Ms. De La </w:t>
      </w:r>
    </w:p>
    <w:p w:rsidR="00033C9D" w:rsidRDefault="00033C9D" w:rsidP="00033C9D">
      <w:pPr>
        <w:ind w:left="-5"/>
      </w:pPr>
      <w:r>
        <w:t xml:space="preserve">Garza said she believed that Ms. Collins and her husband were having marital and financial problems. She also mentioned that Sara Louise Dawson, a former employee under Ms. Collins, had left on bad terms. </w:t>
      </w:r>
    </w:p>
    <w:p w:rsidR="00033C9D" w:rsidRDefault="00033C9D" w:rsidP="00033C9D">
      <w:pPr>
        <w:ind w:left="-5"/>
      </w:pPr>
      <w:r>
        <w:t xml:space="preserve">The next interview was with Sara Louise Dawson, who wanted to consult with her attorney before making an official statement. Ms. Dawson‘s attorney, Thomas C. Green, later contacted the Fraud Examination Team to let them know that Ms. Dawson was interested in making a statement, but only in exchange for an indemnity against all claims arising out of her cooperation. After meeting with Mark Steinberg and Lincoln S. </w:t>
      </w:r>
      <w:proofErr w:type="spellStart"/>
      <w:r>
        <w:t>Wyzokowski</w:t>
      </w:r>
      <w:proofErr w:type="spellEnd"/>
      <w:r>
        <w:t xml:space="preserve">, General Counsel at Bailey Books, Ms. Dawson‘s and Mr. Green‘s proposal was accepted </w:t>
      </w:r>
    </w:p>
    <w:p w:rsidR="00033C9D" w:rsidRDefault="00033C9D" w:rsidP="00033C9D">
      <w:pPr>
        <w:spacing w:after="345" w:line="259" w:lineRule="auto"/>
        <w:ind w:left="-5"/>
      </w:pPr>
      <w:r>
        <w:t xml:space="preserve">On March 3, 2009, Ms. Dawson made her statement, which included the following: </w:t>
      </w:r>
    </w:p>
    <w:p w:rsidR="00033C9D" w:rsidRDefault="00033C9D" w:rsidP="00033C9D">
      <w:pPr>
        <w:numPr>
          <w:ilvl w:val="0"/>
          <w:numId w:val="30"/>
        </w:numPr>
        <w:spacing w:after="192" w:line="367" w:lineRule="auto"/>
        <w:ind w:right="2" w:hanging="168"/>
        <w:jc w:val="both"/>
      </w:pPr>
      <w:r>
        <w:lastRenderedPageBreak/>
        <w:t xml:space="preserve">After Ms. Collins was promoted to Purchasing Manager, she began favoring Orion Corp. for paper purchases. </w:t>
      </w:r>
    </w:p>
    <w:p w:rsidR="00033C9D" w:rsidRDefault="00033C9D" w:rsidP="00033C9D">
      <w:pPr>
        <w:numPr>
          <w:ilvl w:val="0"/>
          <w:numId w:val="30"/>
        </w:numPr>
        <w:spacing w:after="131" w:line="259" w:lineRule="auto"/>
        <w:ind w:right="2" w:hanging="168"/>
        <w:jc w:val="both"/>
      </w:pPr>
      <w:r>
        <w:t xml:space="preserve">On two occasions in 2008, Ms. Collins authorized prepayment on substantial purchases from </w:t>
      </w:r>
    </w:p>
    <w:p w:rsidR="00033C9D" w:rsidRDefault="00033C9D" w:rsidP="00033C9D">
      <w:pPr>
        <w:ind w:left="-5"/>
      </w:pPr>
      <w:r>
        <w:t xml:space="preserve">Orion, even though Ms. Dawson had complained about Orion‘s poor quality and service. Later Ms. Dawson found out that the orders were never received. </w:t>
      </w:r>
    </w:p>
    <w:p w:rsidR="00033C9D" w:rsidRDefault="00033C9D" w:rsidP="00033C9D">
      <w:pPr>
        <w:numPr>
          <w:ilvl w:val="0"/>
          <w:numId w:val="30"/>
        </w:numPr>
        <w:spacing w:after="315" w:line="259" w:lineRule="auto"/>
        <w:ind w:right="2" w:hanging="168"/>
        <w:jc w:val="both"/>
      </w:pPr>
      <w:r>
        <w:t xml:space="preserve">Other vendors had complained of being squeezed out of business with Bailey Books after </w:t>
      </w:r>
    </w:p>
    <w:p w:rsidR="00033C9D" w:rsidRDefault="00033C9D" w:rsidP="00033C9D">
      <w:pPr>
        <w:spacing w:after="314" w:line="259" w:lineRule="auto"/>
        <w:ind w:left="-5"/>
      </w:pPr>
      <w:r>
        <w:t xml:space="preserve">Ms. Collins became manager. </w:t>
      </w:r>
    </w:p>
    <w:p w:rsidR="00033C9D" w:rsidRDefault="00033C9D" w:rsidP="00033C9D">
      <w:pPr>
        <w:ind w:left="-5"/>
      </w:pPr>
      <w:r>
        <w:t xml:space="preserve">Ms. Dawson referred the Team to Becky Robinson in Accounts Payable for further information about the orders. Ms. Robinson was interviewed and provided copies of the two prepaid invoices to Orion Corp., the amounts of which were $102,136 and $95,637. In addition, Ms. Robinson said that Ernie Quincy in Receiving would be able to verify if the two shipments had ever been received. </w:t>
      </w:r>
    </w:p>
    <w:p w:rsidR="00033C9D" w:rsidRDefault="00033C9D" w:rsidP="00033C9D">
      <w:pPr>
        <w:ind w:left="-5"/>
      </w:pPr>
      <w:r>
        <w:t xml:space="preserve">On April 8, 2009, Ernie Quincy, the Warehouse Manager at Bailey Books, was interviewed and verified that the two shipments in question were never received. The next day, copies of the two checks given to Orion Corp. for payment of the goods that were never received were examined. </w:t>
      </w:r>
    </w:p>
    <w:p w:rsidR="00033C9D" w:rsidRDefault="00033C9D" w:rsidP="00033C9D">
      <w:pPr>
        <w:spacing w:after="219"/>
        <w:ind w:left="-5"/>
      </w:pPr>
      <w:r>
        <w:t xml:space="preserve">An interview with David Levey from </w:t>
      </w:r>
      <w:proofErr w:type="spellStart"/>
      <w:r>
        <w:t>Jerrico</w:t>
      </w:r>
      <w:proofErr w:type="spellEnd"/>
      <w:r>
        <w:t xml:space="preserve"> International Paper Company yielded the following information: </w:t>
      </w:r>
    </w:p>
    <w:p w:rsidR="00033C9D" w:rsidRDefault="00033C9D" w:rsidP="00033C9D">
      <w:pPr>
        <w:numPr>
          <w:ilvl w:val="0"/>
          <w:numId w:val="31"/>
        </w:numPr>
        <w:spacing w:after="192" w:line="367" w:lineRule="auto"/>
        <w:ind w:right="2" w:hanging="144"/>
        <w:jc w:val="both"/>
      </w:pPr>
      <w:r>
        <w:t xml:space="preserve">At the time Levey began at </w:t>
      </w:r>
      <w:proofErr w:type="spellStart"/>
      <w:r>
        <w:t>Jerrico</w:t>
      </w:r>
      <w:proofErr w:type="spellEnd"/>
      <w:r>
        <w:t xml:space="preserve">, Bailey Books was a major customer of theirs, but since then their sales to Bailey had dwindled. </w:t>
      </w:r>
    </w:p>
    <w:p w:rsidR="00033C9D" w:rsidRDefault="00033C9D" w:rsidP="00033C9D">
      <w:pPr>
        <w:numPr>
          <w:ilvl w:val="0"/>
          <w:numId w:val="31"/>
        </w:numPr>
        <w:spacing w:after="238" w:line="367" w:lineRule="auto"/>
        <w:ind w:right="2" w:hanging="144"/>
        <w:jc w:val="both"/>
      </w:pPr>
      <w:r>
        <w:t xml:space="preserve">Levey attempted to revive business with Bailey Books, but by then rumors were circulating about an inappropriate relationship between Mr. Nagel of Orion Corp. and Ms. Collins. </w:t>
      </w:r>
    </w:p>
    <w:p w:rsidR="00033C9D" w:rsidRDefault="00033C9D" w:rsidP="00033C9D">
      <w:pPr>
        <w:numPr>
          <w:ilvl w:val="0"/>
          <w:numId w:val="31"/>
        </w:numPr>
        <w:spacing w:after="314" w:line="259" w:lineRule="auto"/>
        <w:ind w:right="2" w:hanging="144"/>
        <w:jc w:val="both"/>
      </w:pPr>
      <w:r>
        <w:t xml:space="preserve">According to Levey, Mr. Nagel had a ―bad reputation‖ in the industry. </w:t>
      </w:r>
    </w:p>
    <w:p w:rsidR="00033C9D" w:rsidRDefault="00033C9D" w:rsidP="00033C9D">
      <w:pPr>
        <w:ind w:left="-5"/>
      </w:pPr>
      <w:r>
        <w:t xml:space="preserve">Ms. De La Garza phoned the Team on April 13, 2009, to let them know that Ms. Collins had </w:t>
      </w:r>
      <w:proofErr w:type="spellStart"/>
      <w:r>
        <w:t>plansto</w:t>
      </w:r>
      <w:proofErr w:type="spellEnd"/>
      <w:r>
        <w:t xml:space="preserve"> meet Mr. Nagel at the bar at the Hotel Atlantic that afternoon. The Team set up surveillance of their meeting and reported that Ms. Collins and Mr. Nagel met at 5:55 p.m. and ordered drinks. </w:t>
      </w:r>
    </w:p>
    <w:p w:rsidR="00033C9D" w:rsidRDefault="00033C9D" w:rsidP="00033C9D">
      <w:pPr>
        <w:spacing w:after="326" w:line="259" w:lineRule="auto"/>
        <w:ind w:left="-5"/>
      </w:pPr>
      <w:r>
        <w:t xml:space="preserve">They held hands under the table, kissed, and left the bar at 7:02 p.m. to go to room 652. </w:t>
      </w:r>
    </w:p>
    <w:p w:rsidR="00033C9D" w:rsidRDefault="00033C9D" w:rsidP="00033C9D">
      <w:pPr>
        <w:spacing w:after="229"/>
        <w:ind w:left="-5"/>
      </w:pPr>
      <w:r>
        <w:t xml:space="preserve">A review of St. Augustine County records showed that Edward J. Collins (Ms. Collins‘s husband) was a defendant in three civil actions. The circumstances of the actions indicated that the </w:t>
      </w:r>
      <w:proofErr w:type="spellStart"/>
      <w:r>
        <w:t>Collinses</w:t>
      </w:r>
      <w:proofErr w:type="spellEnd"/>
      <w:r>
        <w:t xml:space="preserve"> were having financial troubles. </w:t>
      </w:r>
    </w:p>
    <w:p w:rsidR="00033C9D" w:rsidRDefault="00033C9D" w:rsidP="00033C9D">
      <w:pPr>
        <w:ind w:left="-5"/>
      </w:pPr>
      <w:r>
        <w:lastRenderedPageBreak/>
        <w:t xml:space="preserve">A review of the Florida Secretary of State‘s records showed that the </w:t>
      </w:r>
      <w:proofErr w:type="spellStart"/>
      <w:r>
        <w:t>Collinses</w:t>
      </w:r>
      <w:proofErr w:type="spellEnd"/>
      <w:r>
        <w:t xml:space="preserve"> were the incorporators of Collins Marine Corporation. </w:t>
      </w:r>
    </w:p>
    <w:p w:rsidR="00033C9D" w:rsidRDefault="00033C9D" w:rsidP="00033C9D">
      <w:pPr>
        <w:spacing w:after="314" w:line="259" w:lineRule="auto"/>
        <w:ind w:left="-5"/>
      </w:pPr>
      <w:r>
        <w:t xml:space="preserve">A review of UCC filings showed that the </w:t>
      </w:r>
      <w:proofErr w:type="spellStart"/>
      <w:r>
        <w:t>Collinses</w:t>
      </w:r>
      <w:proofErr w:type="spellEnd"/>
      <w:r>
        <w:t xml:space="preserve"> had three liens in their name. </w:t>
      </w:r>
    </w:p>
    <w:p w:rsidR="00033C9D" w:rsidRDefault="00033C9D" w:rsidP="00033C9D">
      <w:pPr>
        <w:ind w:left="-5"/>
      </w:pPr>
      <w:r>
        <w:t xml:space="preserve">A net-worth analysis was performed on the </w:t>
      </w:r>
      <w:proofErr w:type="spellStart"/>
      <w:r>
        <w:t>Collinses</w:t>
      </w:r>
      <w:proofErr w:type="spellEnd"/>
      <w:r>
        <w:t xml:space="preserve"> based on information assembled from public records. It showed unexplained income of $31,632. </w:t>
      </w:r>
    </w:p>
    <w:p w:rsidR="00033C9D" w:rsidRDefault="00033C9D" w:rsidP="00033C9D">
      <w:pPr>
        <w:spacing w:after="26"/>
        <w:ind w:left="-5"/>
      </w:pPr>
      <w:r>
        <w:t xml:space="preserve">In an April 19, 2009 interview, Mr. Nagel stated that his relationship with Ms. Collins was purely professional and denied any improprieties regarding Orion‘s business with Bailey Books. </w:t>
      </w:r>
    </w:p>
    <w:p w:rsidR="00033C9D" w:rsidRDefault="00033C9D" w:rsidP="00033C9D">
      <w:pPr>
        <w:ind w:left="-5"/>
      </w:pPr>
      <w:r>
        <w:t xml:space="preserve">Mr. Nagel also refused to provide any of Orion‘s financial information pertaining to the two invoices in question. </w:t>
      </w:r>
    </w:p>
    <w:p w:rsidR="00033C9D" w:rsidRDefault="00033C9D" w:rsidP="00033C9D">
      <w:pPr>
        <w:ind w:left="-5"/>
      </w:pPr>
      <w:r>
        <w:t xml:space="preserve">On April 21, 2009, Owen </w:t>
      </w:r>
      <w:proofErr w:type="spellStart"/>
      <w:r>
        <w:t>Stetford</w:t>
      </w:r>
      <w:proofErr w:type="spellEnd"/>
      <w:r>
        <w:t xml:space="preserve">, the CFO of Orion Corp., was interviewed and stated he was unable to provide any copies of actual financial information, but that Orion had no record of any receipt of payment for the invoices in question, nor any record that such orders had been placed or shipped. In addition, Mr. </w:t>
      </w:r>
      <w:proofErr w:type="spellStart"/>
      <w:r>
        <w:t>Stetford</w:t>
      </w:r>
      <w:proofErr w:type="spellEnd"/>
      <w:r>
        <w:t xml:space="preserve"> said that Orion had no corporate accounts at Florida Marine </w:t>
      </w:r>
    </w:p>
    <w:p w:rsidR="00033C9D" w:rsidRDefault="00033C9D" w:rsidP="00033C9D">
      <w:pPr>
        <w:ind w:left="-5"/>
      </w:pPr>
      <w:r>
        <w:t xml:space="preserve">National Bank, the bank at which the checks from Bailey Books were deposited. Mr. </w:t>
      </w:r>
      <w:proofErr w:type="spellStart"/>
      <w:r>
        <w:t>Stetford</w:t>
      </w:r>
      <w:proofErr w:type="spellEnd"/>
      <w:r>
        <w:t xml:space="preserve"> also stated that the correct corporate name is Orion Corporation, not Orion Paper Company, as the endorsements indicated. </w:t>
      </w:r>
    </w:p>
    <w:p w:rsidR="00033C9D" w:rsidRDefault="00033C9D" w:rsidP="00033C9D">
      <w:pPr>
        <w:ind w:left="-5"/>
      </w:pPr>
      <w:r>
        <w:t xml:space="preserve">On May 1, 2009, Mr. Nagel was again interviewed. After being confronted with questions and evidence regarding the two payments and the bank account to which they were deposited, Mr. Nagel voluntarily gave a statement attesting to his involvement with Ms. Collins in the embezzlement of funds from Bailey Books. He attested to the following: </w:t>
      </w:r>
    </w:p>
    <w:p w:rsidR="00033C9D" w:rsidRDefault="00033C9D" w:rsidP="00033C9D">
      <w:pPr>
        <w:numPr>
          <w:ilvl w:val="0"/>
          <w:numId w:val="32"/>
        </w:numPr>
        <w:spacing w:after="192" w:line="367" w:lineRule="auto"/>
        <w:ind w:right="2" w:hanging="144"/>
        <w:jc w:val="both"/>
      </w:pPr>
      <w:r>
        <w:t xml:space="preserve">In 2008, Ms. Collins told Mr. Nagel that she would approve the payment of invoices to Orion Corp. for product that would not be delivered. Ms. Collins authorized the payment of two invoices in the amounts of $102,136 and $95,637, but no product was shipped on the invoices. Ms. Collins and Mr. Nagel established a bank account in the name of Orion Paper Company at Florida Marine National Bank and divided the proceeds of the invoices equally. </w:t>
      </w:r>
    </w:p>
    <w:p w:rsidR="00033C9D" w:rsidRDefault="00033C9D" w:rsidP="00033C9D">
      <w:pPr>
        <w:spacing w:after="361" w:line="259" w:lineRule="auto"/>
        <w:ind w:left="-5"/>
      </w:pPr>
      <w:r>
        <w:t xml:space="preserve">On May 1, 2009, Ms. Collins voluntarily gave a statement, which included the following: </w:t>
      </w:r>
    </w:p>
    <w:p w:rsidR="00033C9D" w:rsidRDefault="00033C9D" w:rsidP="00033C9D">
      <w:pPr>
        <w:numPr>
          <w:ilvl w:val="0"/>
          <w:numId w:val="32"/>
        </w:numPr>
        <w:spacing w:after="312" w:line="259" w:lineRule="auto"/>
        <w:ind w:right="2" w:hanging="144"/>
        <w:jc w:val="both"/>
      </w:pPr>
      <w:r>
        <w:t xml:space="preserve">Ms. Collins stated that, starting in 2007, she accepted money from Mr. Nagel to ensure that </w:t>
      </w:r>
    </w:p>
    <w:p w:rsidR="00033C9D" w:rsidRDefault="00033C9D" w:rsidP="00033C9D">
      <w:pPr>
        <w:spacing w:after="224"/>
        <w:ind w:left="-5"/>
      </w:pPr>
      <w:r>
        <w:t xml:space="preserve">Orion Corp. received preferential treatment in supplying Bailey Books with stationery and paper products. On those occasions, she was aware that Bailey Books was not obtaining the best product at the lowest possible price from Orion; in other words, the price charged was substantially higher than market value. </w:t>
      </w:r>
    </w:p>
    <w:p w:rsidR="00033C9D" w:rsidRDefault="00033C9D" w:rsidP="00033C9D">
      <w:pPr>
        <w:numPr>
          <w:ilvl w:val="0"/>
          <w:numId w:val="32"/>
        </w:numPr>
        <w:spacing w:after="219" w:line="367" w:lineRule="auto"/>
        <w:ind w:right="2" w:hanging="144"/>
        <w:jc w:val="both"/>
      </w:pPr>
      <w:r>
        <w:lastRenderedPageBreak/>
        <w:t xml:space="preserve">Ms. Collins stated that on two occasions in 2008, she authorized the payment of invoices for $102,136 and $95,637 without any receipt of merchandise. </w:t>
      </w:r>
    </w:p>
    <w:p w:rsidR="00033C9D" w:rsidRDefault="00033C9D" w:rsidP="00033C9D">
      <w:pPr>
        <w:numPr>
          <w:ilvl w:val="0"/>
          <w:numId w:val="32"/>
        </w:numPr>
        <w:spacing w:after="192" w:line="367" w:lineRule="auto"/>
        <w:ind w:right="2" w:hanging="144"/>
        <w:jc w:val="both"/>
      </w:pPr>
      <w:r>
        <w:t xml:space="preserve">Ms. Collins estimated that she had received in excess of $150,000 in connection with Mr. Nagel. </w:t>
      </w:r>
    </w:p>
    <w:p w:rsidR="00033C9D" w:rsidRDefault="00033C9D" w:rsidP="00033C9D">
      <w:pPr>
        <w:numPr>
          <w:ilvl w:val="0"/>
          <w:numId w:val="33"/>
        </w:numPr>
        <w:spacing w:after="306" w:line="265" w:lineRule="auto"/>
        <w:ind w:hanging="573"/>
        <w:jc w:val="both"/>
      </w:pPr>
      <w:r>
        <w:rPr>
          <w:rFonts w:ascii="Times New Roman" w:eastAsia="Times New Roman" w:hAnsi="Times New Roman" w:cs="Times New Roman"/>
          <w:b/>
        </w:rPr>
        <w:t xml:space="preserve">Summary </w:t>
      </w:r>
    </w:p>
    <w:p w:rsidR="00033C9D" w:rsidRDefault="00033C9D" w:rsidP="00033C9D">
      <w:pPr>
        <w:spacing w:after="0"/>
        <w:ind w:left="-5"/>
      </w:pPr>
      <w:r>
        <w:t xml:space="preserve">[This section should be one or two paragraphs and should succinctly summarize the results of the fraud examination. It should be similar to the outcome stated at the end of the Executive </w:t>
      </w:r>
    </w:p>
    <w:p w:rsidR="00033C9D" w:rsidRDefault="00033C9D" w:rsidP="00033C9D">
      <w:pPr>
        <w:spacing w:after="314" w:line="259" w:lineRule="auto"/>
        <w:ind w:left="-5"/>
      </w:pPr>
      <w:r>
        <w:t xml:space="preserve">Summary section.] </w:t>
      </w:r>
    </w:p>
    <w:p w:rsidR="00033C9D" w:rsidRDefault="00033C9D" w:rsidP="00033C9D">
      <w:pPr>
        <w:ind w:left="-5"/>
      </w:pPr>
      <w:r>
        <w:t xml:space="preserve">This report reflects that Linda Reed Collins, a purchasing agent for Bailey Books, Inc., furnished a signed statement on May 1, 2009, indicating she had accepted at least $197,773 in commercial bribes and other illicit income in a conspiracy with James R. Nagel, an account representative for Orion Corporation, St. Augustine, Florida. </w:t>
      </w:r>
    </w:p>
    <w:p w:rsidR="00033C9D" w:rsidRDefault="00033C9D" w:rsidP="00033C9D">
      <w:pPr>
        <w:ind w:left="-5"/>
      </w:pPr>
      <w:r>
        <w:t xml:space="preserve">The statements made by Collins are corroborated by the documentary evidence and the interviews of other witnesses as described herein. </w:t>
      </w:r>
    </w:p>
    <w:p w:rsidR="00033C9D" w:rsidRDefault="00033C9D" w:rsidP="00033C9D">
      <w:pPr>
        <w:spacing w:after="0" w:line="259" w:lineRule="auto"/>
      </w:pPr>
      <w:r>
        <w:rPr>
          <w:rFonts w:ascii="Times New Roman" w:eastAsia="Times New Roman" w:hAnsi="Times New Roman" w:cs="Times New Roman"/>
          <w:b/>
        </w:rPr>
        <w:t xml:space="preserve"> </w:t>
      </w:r>
    </w:p>
    <w:p w:rsidR="00033C9D" w:rsidRDefault="00033C9D" w:rsidP="00033C9D">
      <w:pPr>
        <w:numPr>
          <w:ilvl w:val="0"/>
          <w:numId w:val="33"/>
        </w:numPr>
        <w:spacing w:after="306" w:line="265" w:lineRule="auto"/>
        <w:ind w:hanging="573"/>
        <w:jc w:val="both"/>
      </w:pPr>
      <w:r>
        <w:rPr>
          <w:rFonts w:ascii="Times New Roman" w:eastAsia="Times New Roman" w:hAnsi="Times New Roman" w:cs="Times New Roman"/>
          <w:b/>
        </w:rPr>
        <w:t xml:space="preserve">Impact to Bailey Books </w:t>
      </w:r>
    </w:p>
    <w:p w:rsidR="00033C9D" w:rsidRDefault="00033C9D" w:rsidP="00033C9D">
      <w:pPr>
        <w:ind w:left="-5"/>
      </w:pPr>
      <w:r>
        <w:t xml:space="preserve">[This section should be one or two paragraphs and should succinctly summarize the results of the fraud examination. It should be similar to the outcome stated at the end of the Executive Summary section.] </w:t>
      </w:r>
    </w:p>
    <w:p w:rsidR="00033C9D" w:rsidRDefault="00033C9D" w:rsidP="00033C9D">
      <w:pPr>
        <w:spacing w:after="226"/>
        <w:ind w:left="-5"/>
      </w:pPr>
      <w:r>
        <w:t xml:space="preserve">Over the course of four years, Linda Reed Collins, in partnership with James R. Nagel, misappropriated an estimated $197,773 from Bailey Books, Incorporated. </w:t>
      </w:r>
    </w:p>
    <w:p w:rsidR="00033C9D" w:rsidRDefault="00033C9D" w:rsidP="00033C9D">
      <w:pPr>
        <w:ind w:left="-5"/>
      </w:pPr>
      <w:r>
        <w:t xml:space="preserve">Additional amounts were lost due to Bailey‘s overpaying for merchandise sold to it by Nagel. Those amounts have not been calculated. </w:t>
      </w:r>
    </w:p>
    <w:p w:rsidR="00033C9D" w:rsidRDefault="00033C9D" w:rsidP="00033C9D">
      <w:pPr>
        <w:numPr>
          <w:ilvl w:val="0"/>
          <w:numId w:val="33"/>
        </w:numPr>
        <w:spacing w:after="306" w:line="265" w:lineRule="auto"/>
        <w:ind w:hanging="573"/>
        <w:jc w:val="both"/>
      </w:pPr>
      <w:r>
        <w:rPr>
          <w:rFonts w:ascii="Times New Roman" w:eastAsia="Times New Roman" w:hAnsi="Times New Roman" w:cs="Times New Roman"/>
          <w:b/>
        </w:rPr>
        <w:t xml:space="preserve">Recommendations </w:t>
      </w:r>
    </w:p>
    <w:p w:rsidR="00033C9D" w:rsidRDefault="00033C9D" w:rsidP="00033C9D">
      <w:pPr>
        <w:ind w:left="-5"/>
      </w:pPr>
      <w:r>
        <w:t xml:space="preserve">[This section is optional. There may be instances where you wish to discuss remedial measures or specific recommendations in a separate document. If you do wish to include this section, you should state what follow-up action is necessary or recommended, including remedial measures such as a review of internal controls, introduction of a hotline, increased security, etc.] </w:t>
      </w:r>
    </w:p>
    <w:p w:rsidR="00033C9D" w:rsidRDefault="00033C9D" w:rsidP="00033C9D">
      <w:pPr>
        <w:ind w:left="-5"/>
      </w:pPr>
      <w:r>
        <w:t xml:space="preserve">It is the policy of Bailey Books to report such matters to the appropriate authorities and to assist in criminal prosecution. A full review of internal controls should be conducted to determine how such incidents can be detected in the future. </w:t>
      </w:r>
    </w:p>
    <w:p w:rsidR="00033C9D" w:rsidRDefault="00033C9D" w:rsidP="007F3C23">
      <w:pPr>
        <w:spacing w:after="0"/>
        <w:jc w:val="both"/>
        <w:rPr>
          <w:rFonts w:ascii="Book Antiqua" w:hAnsi="Book Antiqua"/>
          <w:b/>
          <w:bCs/>
          <w:sz w:val="28"/>
          <w:szCs w:val="28"/>
        </w:rPr>
      </w:pPr>
    </w:p>
    <w:p w:rsidR="00D81504" w:rsidRPr="007E1262" w:rsidRDefault="00494D4C" w:rsidP="007F3C23">
      <w:pPr>
        <w:spacing w:after="0"/>
        <w:jc w:val="both"/>
        <w:rPr>
          <w:rFonts w:ascii="Book Antiqua" w:hAnsi="Book Antiqua" w:cs="Times New Roman"/>
          <w:bCs/>
          <w:sz w:val="24"/>
          <w:szCs w:val="24"/>
          <w:lang w:val="en-GB"/>
        </w:rPr>
      </w:pPr>
      <w:r>
        <w:rPr>
          <w:rFonts w:ascii="Book Antiqua" w:hAnsi="Book Antiqua"/>
          <w:b/>
          <w:bCs/>
          <w:sz w:val="28"/>
          <w:szCs w:val="28"/>
        </w:rPr>
        <w:t xml:space="preserve">        </w:t>
      </w:r>
    </w:p>
    <w:p w:rsidR="00D81504" w:rsidRPr="002F1840" w:rsidRDefault="00D81504" w:rsidP="00D81504">
      <w:pPr>
        <w:spacing w:after="0"/>
        <w:ind w:left="-426" w:right="-574"/>
        <w:rPr>
          <w:rFonts w:ascii="Book Antiqua" w:hAnsi="Book Antiqua"/>
          <w:bCs/>
          <w:sz w:val="24"/>
          <w:szCs w:val="24"/>
        </w:rPr>
      </w:pPr>
    </w:p>
    <w:p w:rsidR="001A0A97" w:rsidRPr="002F1840" w:rsidRDefault="007B2D54" w:rsidP="001A0A97">
      <w:pPr>
        <w:spacing w:after="0"/>
        <w:rPr>
          <w:rFonts w:ascii="Book Antiqua" w:hAnsi="Book Antiqua"/>
          <w:b/>
          <w:bCs/>
          <w:sz w:val="28"/>
          <w:szCs w:val="28"/>
        </w:rPr>
      </w:pPr>
      <w:r w:rsidRPr="002F1840">
        <w:rPr>
          <w:rFonts w:ascii="Book Antiqua" w:hAnsi="Book Antiqua"/>
          <w:b/>
          <w:bCs/>
          <w:sz w:val="28"/>
          <w:szCs w:val="28"/>
        </w:rPr>
        <w:t>Question. 6</w:t>
      </w:r>
    </w:p>
    <w:p w:rsidR="002F1840" w:rsidRDefault="002F1840" w:rsidP="007B2D54">
      <w:pPr>
        <w:autoSpaceDE w:val="0"/>
        <w:autoSpaceDN w:val="0"/>
        <w:adjustRightInd w:val="0"/>
        <w:spacing w:after="0" w:line="240" w:lineRule="auto"/>
        <w:rPr>
          <w:rFonts w:ascii="Book Antiqua" w:hAnsi="Book Antiqua"/>
          <w:bCs/>
          <w:sz w:val="24"/>
          <w:szCs w:val="24"/>
        </w:rPr>
      </w:pPr>
    </w:p>
    <w:p w:rsidR="007B2D54" w:rsidRDefault="007E1262" w:rsidP="007F3C23">
      <w:pPr>
        <w:autoSpaceDE w:val="0"/>
        <w:autoSpaceDN w:val="0"/>
        <w:adjustRightInd w:val="0"/>
        <w:spacing w:after="0" w:line="240" w:lineRule="auto"/>
        <w:jc w:val="both"/>
        <w:rPr>
          <w:rFonts w:ascii="Book Antiqua" w:hAnsi="Book Antiqua"/>
          <w:b/>
          <w:bCs/>
          <w:sz w:val="20"/>
          <w:szCs w:val="20"/>
        </w:rPr>
      </w:pPr>
      <w:r w:rsidRPr="007E1262">
        <w:rPr>
          <w:rFonts w:ascii="Book Antiqua" w:hAnsi="Book Antiqua" w:cs="Times New Roman,Bold"/>
          <w:bCs/>
          <w:sz w:val="24"/>
          <w:szCs w:val="24"/>
          <w:lang w:val="en-GB"/>
        </w:rPr>
        <w:t xml:space="preserve">How does a </w:t>
      </w:r>
      <w:r w:rsidR="007B2D54" w:rsidRPr="00D457E8">
        <w:rPr>
          <w:rFonts w:ascii="Book Antiqua" w:hAnsi="Book Antiqua" w:cs="Times New Roman,Bold"/>
          <w:b/>
          <w:bCs/>
          <w:color w:val="000000" w:themeColor="text1"/>
          <w:sz w:val="24"/>
          <w:szCs w:val="24"/>
          <w:lang w:val="en-GB"/>
        </w:rPr>
        <w:t>Fraud Audit report</w:t>
      </w:r>
      <w:r w:rsidRPr="007E1262">
        <w:rPr>
          <w:rFonts w:ascii="Book Antiqua" w:hAnsi="Book Antiqua" w:cs="Times New Roman,Bold"/>
          <w:bCs/>
          <w:color w:val="000000" w:themeColor="text1"/>
          <w:sz w:val="24"/>
          <w:szCs w:val="24"/>
          <w:lang w:val="en-GB"/>
        </w:rPr>
        <w:t xml:space="preserve"> </w:t>
      </w:r>
      <w:r w:rsidRPr="007E1262">
        <w:rPr>
          <w:rFonts w:ascii="Times New Roman" w:hAnsi="Times New Roman" w:cs="Times New Roman"/>
          <w:bCs/>
          <w:color w:val="000000" w:themeColor="text1"/>
          <w:sz w:val="24"/>
          <w:szCs w:val="24"/>
          <w:lang w:val="en-GB"/>
        </w:rPr>
        <w:t xml:space="preserve"> </w:t>
      </w:r>
      <w:r w:rsidR="007B2D54" w:rsidRPr="007E1262">
        <w:rPr>
          <w:rFonts w:ascii="Book Antiqua" w:hAnsi="Book Antiqua" w:cs="Times New Roman,Bold"/>
          <w:bCs/>
          <w:color w:val="000000" w:themeColor="text1"/>
          <w:sz w:val="24"/>
          <w:szCs w:val="24"/>
          <w:lang w:val="en-GB"/>
        </w:rPr>
        <w:t xml:space="preserve"> </w:t>
      </w:r>
      <w:r w:rsidR="007B2D54" w:rsidRPr="007E1262">
        <w:rPr>
          <w:rFonts w:ascii="Book Antiqua" w:hAnsi="Book Antiqua" w:cs="Times New Roman,Bold"/>
          <w:bCs/>
          <w:sz w:val="24"/>
          <w:szCs w:val="24"/>
          <w:lang w:val="en-GB"/>
        </w:rPr>
        <w:t>look a like? This post provides an</w:t>
      </w:r>
      <w:r w:rsidR="00B25CFD">
        <w:rPr>
          <w:rFonts w:ascii="Book Antiqua" w:hAnsi="Book Antiqua"/>
          <w:bCs/>
          <w:sz w:val="24"/>
          <w:szCs w:val="24"/>
        </w:rPr>
        <w:t xml:space="preserve"> </w:t>
      </w:r>
      <w:r w:rsidR="00B25CFD">
        <w:rPr>
          <w:rFonts w:ascii="Book Antiqua" w:hAnsi="Book Antiqua" w:cs="Times New Roman"/>
          <w:bCs/>
          <w:sz w:val="24"/>
          <w:szCs w:val="24"/>
          <w:lang w:val="en-GB"/>
        </w:rPr>
        <w:t>e</w:t>
      </w:r>
      <w:r w:rsidR="004E4B43" w:rsidRPr="0007563C">
        <w:rPr>
          <w:rFonts w:ascii="Book Antiqua" w:hAnsi="Book Antiqua" w:cs="Times New Roman"/>
          <w:bCs/>
          <w:sz w:val="24"/>
          <w:szCs w:val="24"/>
          <w:lang w:val="en-GB"/>
        </w:rPr>
        <w:t>xample</w:t>
      </w:r>
      <w:r w:rsidR="007B2D54" w:rsidRPr="0007563C">
        <w:rPr>
          <w:rFonts w:ascii="Book Antiqua" w:hAnsi="Book Antiqua" w:cs="Times New Roman"/>
          <w:bCs/>
          <w:sz w:val="24"/>
          <w:szCs w:val="24"/>
          <w:lang w:val="en-GB"/>
        </w:rPr>
        <w:t xml:space="preserve"> of a fraud audit report. The allegation is that </w:t>
      </w:r>
      <w:r w:rsidR="0007563C">
        <w:rPr>
          <w:rFonts w:ascii="Book Antiqua" w:hAnsi="Book Antiqua" w:cs="Times New Roman"/>
          <w:bCs/>
          <w:sz w:val="24"/>
          <w:szCs w:val="24"/>
          <w:lang w:val="en-GB"/>
        </w:rPr>
        <w:t xml:space="preserve">a company manager perpetrated a </w:t>
      </w:r>
      <w:r w:rsidR="002F1840" w:rsidRPr="0007563C">
        <w:rPr>
          <w:rFonts w:ascii="Book Antiqua" w:hAnsi="Book Antiqua" w:cs="Times New Roman"/>
          <w:bCs/>
          <w:sz w:val="24"/>
          <w:szCs w:val="24"/>
          <w:lang w:val="en-GB"/>
        </w:rPr>
        <w:t>false</w:t>
      </w:r>
      <w:r w:rsidR="007B2D54" w:rsidRPr="0007563C">
        <w:rPr>
          <w:rFonts w:ascii="Book Antiqua" w:hAnsi="Book Antiqua" w:cs="Times New Roman"/>
          <w:bCs/>
          <w:sz w:val="24"/>
          <w:szCs w:val="24"/>
          <w:lang w:val="en-GB"/>
        </w:rPr>
        <w:t xml:space="preserve"> billing scheme using a front company.</w:t>
      </w:r>
      <w:r w:rsidR="007B2D54" w:rsidRPr="002F1840">
        <w:rPr>
          <w:rFonts w:ascii="Book Antiqua" w:hAnsi="Book Antiqua"/>
          <w:bCs/>
          <w:sz w:val="24"/>
          <w:szCs w:val="24"/>
        </w:rPr>
        <w:t xml:space="preserve">                                                    </w:t>
      </w:r>
      <w:r w:rsidR="007F3C23">
        <w:rPr>
          <w:rFonts w:ascii="Book Antiqua" w:hAnsi="Book Antiqua"/>
          <w:bCs/>
          <w:sz w:val="24"/>
          <w:szCs w:val="24"/>
        </w:rPr>
        <w:t xml:space="preserve">   </w:t>
      </w:r>
      <w:r w:rsidR="007B2D54" w:rsidRPr="002F1840">
        <w:rPr>
          <w:rFonts w:ascii="Book Antiqua" w:hAnsi="Book Antiqua"/>
          <w:bCs/>
          <w:sz w:val="24"/>
          <w:szCs w:val="24"/>
        </w:rPr>
        <w:t xml:space="preserve">  </w:t>
      </w:r>
      <w:r w:rsidR="00B25CFD">
        <w:rPr>
          <w:rFonts w:ascii="Book Antiqua" w:hAnsi="Book Antiqua"/>
          <w:bCs/>
          <w:sz w:val="24"/>
          <w:szCs w:val="24"/>
        </w:rPr>
        <w:t xml:space="preserve">                                </w:t>
      </w:r>
      <w:r w:rsidR="004B6963">
        <w:rPr>
          <w:rFonts w:ascii="Book Antiqua" w:hAnsi="Book Antiqua"/>
          <w:bCs/>
          <w:sz w:val="24"/>
          <w:szCs w:val="24"/>
        </w:rPr>
        <w:t xml:space="preserve"> </w:t>
      </w:r>
      <w:r w:rsidR="00B25CFD">
        <w:rPr>
          <w:rFonts w:ascii="Book Antiqua" w:hAnsi="Book Antiqua"/>
          <w:bCs/>
          <w:sz w:val="24"/>
          <w:szCs w:val="24"/>
        </w:rPr>
        <w:t xml:space="preserve"> </w:t>
      </w:r>
      <w:r w:rsidR="007B2D54" w:rsidRPr="007F3C23">
        <w:rPr>
          <w:rFonts w:ascii="Book Antiqua" w:hAnsi="Book Antiqua"/>
          <w:b/>
          <w:bCs/>
          <w:sz w:val="20"/>
          <w:szCs w:val="20"/>
        </w:rPr>
        <w:t>(20Marks)</w:t>
      </w:r>
    </w:p>
    <w:p w:rsidR="00033C9D" w:rsidRDefault="00033C9D" w:rsidP="00033C9D">
      <w:pPr>
        <w:spacing w:after="306" w:line="265" w:lineRule="auto"/>
        <w:ind w:left="-5"/>
      </w:pPr>
      <w:r>
        <w:rPr>
          <w:rFonts w:ascii="Times New Roman" w:eastAsia="Times New Roman" w:hAnsi="Times New Roman" w:cs="Times New Roman"/>
          <w:b/>
        </w:rPr>
        <w:t xml:space="preserve">I. Background and Assumptions </w:t>
      </w:r>
    </w:p>
    <w:p w:rsidR="00033C9D" w:rsidRDefault="00033C9D" w:rsidP="00033C9D">
      <w:pPr>
        <w:ind w:left="-5"/>
      </w:pPr>
      <w:r>
        <w:t xml:space="preserve">Scott Graham, Esq., counsel for Prudent Auditing Corp. in the matter of The XYZ Company has engaged Lie Dharma Putra, CPA and CFE, to examine the Prudent Auditing Corp.‘s documents and records for the direct purpose of offering opinions regarding the payments to The XYZ Company. </w:t>
      </w:r>
    </w:p>
    <w:p w:rsidR="00033C9D" w:rsidRDefault="00033C9D" w:rsidP="00033C9D">
      <w:pPr>
        <w:ind w:left="-5"/>
      </w:pPr>
      <w:r>
        <w:t xml:space="preserve">I have prepared this report summarizing the opinions I have formulated from reviewing documents on July 24, 2010. The documents were made available to me via the controller of Prudent Auditing Corp. I am qualified to issue such opinions based on my education, training, experience, and accreditations in such matters. </w:t>
      </w:r>
    </w:p>
    <w:p w:rsidR="00033C9D" w:rsidRDefault="00033C9D" w:rsidP="00033C9D">
      <w:pPr>
        <w:spacing w:after="306" w:line="265" w:lineRule="auto"/>
        <w:ind w:left="-5"/>
      </w:pPr>
      <w:r>
        <w:rPr>
          <w:rFonts w:ascii="Times New Roman" w:eastAsia="Times New Roman" w:hAnsi="Times New Roman" w:cs="Times New Roman"/>
          <w:b/>
        </w:rPr>
        <w:t xml:space="preserve">II. Statement of Opinions </w:t>
      </w:r>
    </w:p>
    <w:p w:rsidR="00033C9D" w:rsidRDefault="00033C9D" w:rsidP="00033C9D">
      <w:pPr>
        <w:ind w:left="-5"/>
      </w:pPr>
      <w:r>
        <w:t xml:space="preserve">My opinions are based on an independent examination of relevant materials provided by the controller and legal counsel of the Prudent Auditing Corp., independent research and investigation, authoritative treatises, and my past experience and professional knowledge in matters of this nature. The opinions contained in this report are as of October 31, 2010. </w:t>
      </w:r>
    </w:p>
    <w:p w:rsidR="00033C9D" w:rsidRDefault="00033C9D" w:rsidP="00033C9D">
      <w:pPr>
        <w:ind w:left="-5"/>
      </w:pPr>
      <w:r>
        <w:t xml:space="preserve">Insofar as discovery is continued in this matter, I reserve the right to supplement or otherwise amend this report regarding factual assumptions, theories of fraud, and statements of opinions. </w:t>
      </w:r>
    </w:p>
    <w:p w:rsidR="00033C9D" w:rsidRDefault="00033C9D" w:rsidP="00033C9D">
      <w:pPr>
        <w:numPr>
          <w:ilvl w:val="0"/>
          <w:numId w:val="34"/>
        </w:numPr>
        <w:spacing w:after="314" w:line="259" w:lineRule="auto"/>
        <w:ind w:right="2" w:hanging="240"/>
        <w:jc w:val="both"/>
      </w:pPr>
      <w:r>
        <w:t xml:space="preserve">Credible evidence exists to suggest that the XYZ Company is a front company. </w:t>
      </w:r>
    </w:p>
    <w:p w:rsidR="00033C9D" w:rsidRDefault="00033C9D" w:rsidP="00033C9D">
      <w:pPr>
        <w:numPr>
          <w:ilvl w:val="0"/>
          <w:numId w:val="34"/>
        </w:numPr>
        <w:spacing w:after="192" w:line="367" w:lineRule="auto"/>
        <w:ind w:right="2" w:hanging="240"/>
        <w:jc w:val="both"/>
      </w:pPr>
      <w:r>
        <w:t xml:space="preserve">Credible evidence exists to suggest that the services described on the XYZ invoices were not provided to the Prudent Auditing Corp. </w:t>
      </w:r>
    </w:p>
    <w:p w:rsidR="00033C9D" w:rsidRDefault="00033C9D" w:rsidP="00033C9D">
      <w:pPr>
        <w:numPr>
          <w:ilvl w:val="0"/>
          <w:numId w:val="34"/>
        </w:numPr>
        <w:spacing w:after="192" w:line="367" w:lineRule="auto"/>
        <w:ind w:right="2" w:hanging="240"/>
        <w:jc w:val="both"/>
      </w:pPr>
      <w:r>
        <w:t xml:space="preserve">Credible evidence exists to suggest that internal employees either conspired to commit or committed the possible misappropriation of funds. </w:t>
      </w:r>
    </w:p>
    <w:p w:rsidR="00033C9D" w:rsidRDefault="00033C9D" w:rsidP="00033C9D">
      <w:pPr>
        <w:numPr>
          <w:ilvl w:val="0"/>
          <w:numId w:val="34"/>
        </w:numPr>
        <w:spacing w:after="192" w:line="367" w:lineRule="auto"/>
        <w:ind w:right="2" w:hanging="240"/>
        <w:jc w:val="both"/>
      </w:pPr>
      <w:r>
        <w:t xml:space="preserve">Credible evidence exists to suggest that person(s) involved knowingly converted Prudent Auditing Corp. funds for their own personal benefit. </w:t>
      </w:r>
    </w:p>
    <w:p w:rsidR="00033C9D" w:rsidRDefault="00033C9D" w:rsidP="00033C9D">
      <w:pPr>
        <w:numPr>
          <w:ilvl w:val="0"/>
          <w:numId w:val="34"/>
        </w:numPr>
        <w:spacing w:after="192" w:line="367" w:lineRule="auto"/>
        <w:ind w:right="2" w:hanging="240"/>
        <w:jc w:val="both"/>
      </w:pPr>
      <w:r>
        <w:lastRenderedPageBreak/>
        <w:t xml:space="preserve">Credible evidence exists to suggest that the Prudent Auditing Corp. has suffered a loss of $ 120,000. </w:t>
      </w:r>
    </w:p>
    <w:p w:rsidR="00033C9D" w:rsidRDefault="00033C9D" w:rsidP="00033C9D">
      <w:pPr>
        <w:ind w:left="-5"/>
      </w:pPr>
      <w:r>
        <w:t xml:space="preserve">The reasons, causes, and motives for these occurrences can be resolved with a thorough and complete investigation of the XYZ Company‘s financial records and the personal financial records of identified internal employees. </w:t>
      </w:r>
    </w:p>
    <w:p w:rsidR="00033C9D" w:rsidRDefault="00033C9D" w:rsidP="00033C9D">
      <w:pPr>
        <w:spacing w:after="306" w:line="265" w:lineRule="auto"/>
        <w:ind w:left="-5"/>
      </w:pPr>
      <w:r>
        <w:rPr>
          <w:rFonts w:ascii="Times New Roman" w:eastAsia="Times New Roman" w:hAnsi="Times New Roman" w:cs="Times New Roman"/>
          <w:b/>
        </w:rPr>
        <w:t xml:space="preserve">III. Relevant Information </w:t>
      </w:r>
    </w:p>
    <w:p w:rsidR="00033C9D" w:rsidRDefault="00033C9D" w:rsidP="00033C9D">
      <w:pPr>
        <w:ind w:left="-5"/>
      </w:pPr>
      <w:r>
        <w:t xml:space="preserve">I have relied on the preceding facts and information to formulate my opinion contained in this report. </w:t>
      </w:r>
    </w:p>
    <w:p w:rsidR="00033C9D" w:rsidRDefault="00033C9D" w:rsidP="00033C9D">
      <w:pPr>
        <w:numPr>
          <w:ilvl w:val="0"/>
          <w:numId w:val="35"/>
        </w:numPr>
        <w:spacing w:after="314" w:line="259" w:lineRule="auto"/>
        <w:ind w:right="2" w:hanging="242"/>
        <w:jc w:val="both"/>
      </w:pPr>
      <w:r>
        <w:t xml:space="preserve">The XYZ Company invoices, the supporting purchase orders, and purchase requisitions. </w:t>
      </w:r>
    </w:p>
    <w:p w:rsidR="00033C9D" w:rsidRDefault="00033C9D" w:rsidP="00033C9D">
      <w:pPr>
        <w:numPr>
          <w:ilvl w:val="0"/>
          <w:numId w:val="35"/>
        </w:numPr>
        <w:spacing w:after="192" w:line="367" w:lineRule="auto"/>
        <w:ind w:right="2" w:hanging="242"/>
        <w:jc w:val="both"/>
      </w:pPr>
      <w:r>
        <w:t xml:space="preserve">The Prudent Auditing Corp. general ledger and cash disbursement ledger for the 20X6 and 2010 calendar year. </w:t>
      </w:r>
    </w:p>
    <w:p w:rsidR="00033C9D" w:rsidRDefault="00033C9D" w:rsidP="00033C9D">
      <w:pPr>
        <w:numPr>
          <w:ilvl w:val="0"/>
          <w:numId w:val="35"/>
        </w:numPr>
        <w:spacing w:after="192" w:line="367" w:lineRule="auto"/>
        <w:ind w:right="2" w:hanging="242"/>
        <w:jc w:val="both"/>
      </w:pPr>
      <w:r>
        <w:t xml:space="preserve">Copies of the front and back of Prudent Auditing Corp. canceled checks issued to the XYZ Company. </w:t>
      </w:r>
    </w:p>
    <w:p w:rsidR="00033C9D" w:rsidRDefault="00033C9D" w:rsidP="00033C9D">
      <w:pPr>
        <w:numPr>
          <w:ilvl w:val="0"/>
          <w:numId w:val="35"/>
        </w:numPr>
        <w:spacing w:after="314" w:line="259" w:lineRule="auto"/>
        <w:ind w:right="2" w:hanging="242"/>
        <w:jc w:val="both"/>
      </w:pPr>
      <w:r>
        <w:t xml:space="preserve">Prudent Auditing Corp. personnel files. </w:t>
      </w:r>
    </w:p>
    <w:p w:rsidR="00033C9D" w:rsidRDefault="00033C9D" w:rsidP="00033C9D">
      <w:pPr>
        <w:numPr>
          <w:ilvl w:val="0"/>
          <w:numId w:val="35"/>
        </w:numPr>
        <w:spacing w:after="315" w:line="259" w:lineRule="auto"/>
        <w:ind w:right="2" w:hanging="242"/>
        <w:jc w:val="both"/>
      </w:pPr>
      <w:r>
        <w:t xml:space="preserve">Prudent Auditing Corp. purchasing and disbursement </w:t>
      </w:r>
      <w:proofErr w:type="spellStart"/>
      <w:r>
        <w:t>polices</w:t>
      </w:r>
      <w:proofErr w:type="spellEnd"/>
      <w:r>
        <w:t xml:space="preserve"> and procedures. </w:t>
      </w:r>
    </w:p>
    <w:p w:rsidR="00033C9D" w:rsidRDefault="00033C9D" w:rsidP="00033C9D">
      <w:pPr>
        <w:numPr>
          <w:ilvl w:val="0"/>
          <w:numId w:val="35"/>
        </w:numPr>
        <w:spacing w:after="319" w:line="259" w:lineRule="auto"/>
        <w:ind w:right="2" w:hanging="242"/>
        <w:jc w:val="both"/>
      </w:pPr>
      <w:r>
        <w:t xml:space="preserve">Interviews of Prudent Auditing Corp. employees. </w:t>
      </w:r>
    </w:p>
    <w:p w:rsidR="00033C9D" w:rsidRDefault="00033C9D" w:rsidP="00033C9D">
      <w:pPr>
        <w:numPr>
          <w:ilvl w:val="0"/>
          <w:numId w:val="36"/>
        </w:numPr>
        <w:spacing w:after="306" w:line="265" w:lineRule="auto"/>
        <w:ind w:hanging="387"/>
        <w:jc w:val="both"/>
      </w:pPr>
      <w:r>
        <w:rPr>
          <w:rFonts w:ascii="Times New Roman" w:eastAsia="Times New Roman" w:hAnsi="Times New Roman" w:cs="Times New Roman"/>
          <w:b/>
        </w:rPr>
        <w:t xml:space="preserve">Exhibits </w:t>
      </w:r>
    </w:p>
    <w:p w:rsidR="00033C9D" w:rsidRDefault="00033C9D" w:rsidP="00033C9D">
      <w:pPr>
        <w:spacing w:line="259" w:lineRule="auto"/>
        <w:ind w:left="-5"/>
      </w:pPr>
      <w:r>
        <w:t xml:space="preserve">Exhibit 1: Listing of payments to The XYZ Company </w:t>
      </w:r>
    </w:p>
    <w:p w:rsidR="00033C9D" w:rsidRDefault="00033C9D" w:rsidP="00033C9D">
      <w:pPr>
        <w:spacing w:after="314" w:line="259" w:lineRule="auto"/>
        <w:ind w:left="-5"/>
      </w:pPr>
      <w:r>
        <w:t xml:space="preserve">Exhibit 2: Copies of XYZ Company invoices </w:t>
      </w:r>
    </w:p>
    <w:p w:rsidR="00033C9D" w:rsidRDefault="00033C9D" w:rsidP="00033C9D">
      <w:pPr>
        <w:ind w:left="-5"/>
      </w:pPr>
      <w:r>
        <w:t xml:space="preserve"> Exhibit 3: Copies, front and back, of Prudent Auditing Corp. canceled checks payable to The XYZ Company </w:t>
      </w:r>
    </w:p>
    <w:p w:rsidR="00033C9D" w:rsidRDefault="00033C9D" w:rsidP="00033C9D">
      <w:pPr>
        <w:numPr>
          <w:ilvl w:val="0"/>
          <w:numId w:val="36"/>
        </w:numPr>
        <w:spacing w:after="306" w:line="265" w:lineRule="auto"/>
        <w:ind w:hanging="387"/>
        <w:jc w:val="both"/>
      </w:pPr>
      <w:r>
        <w:rPr>
          <w:rFonts w:ascii="Times New Roman" w:eastAsia="Times New Roman" w:hAnsi="Times New Roman" w:cs="Times New Roman"/>
          <w:b/>
        </w:rPr>
        <w:t xml:space="preserve">Factual Background and Assumptions </w:t>
      </w:r>
    </w:p>
    <w:p w:rsidR="00033C9D" w:rsidRDefault="00033C9D" w:rsidP="00033C9D">
      <w:pPr>
        <w:numPr>
          <w:ilvl w:val="0"/>
          <w:numId w:val="37"/>
        </w:numPr>
        <w:spacing w:after="314" w:line="259" w:lineRule="auto"/>
        <w:ind w:right="2" w:hanging="240"/>
        <w:jc w:val="both"/>
      </w:pPr>
      <w:r>
        <w:t xml:space="preserve">Credible evidence exists to suggest that The XYZ Company is a front company. </w:t>
      </w:r>
    </w:p>
    <w:p w:rsidR="00033C9D" w:rsidRDefault="00033C9D" w:rsidP="00033C9D">
      <w:pPr>
        <w:spacing w:after="315" w:line="259" w:lineRule="auto"/>
        <w:ind w:left="-5"/>
      </w:pPr>
      <w:r>
        <w:t>(</w:t>
      </w:r>
      <w:proofErr w:type="gramStart"/>
      <w:r>
        <w:t>a</w:t>
      </w:r>
      <w:proofErr w:type="gramEnd"/>
      <w:r>
        <w:t xml:space="preserve">). The XYZ Company billing head indicates a mailing address of PO Box 934. </w:t>
      </w:r>
    </w:p>
    <w:p w:rsidR="00033C9D" w:rsidRDefault="00033C9D" w:rsidP="00033C9D">
      <w:pPr>
        <w:spacing w:after="312" w:line="259" w:lineRule="auto"/>
        <w:ind w:left="-5"/>
      </w:pPr>
      <w:r>
        <w:t xml:space="preserve"> (b). </w:t>
      </w:r>
      <w:proofErr w:type="gramStart"/>
      <w:r>
        <w:t>The</w:t>
      </w:r>
      <w:proofErr w:type="gramEnd"/>
      <w:r>
        <w:t xml:space="preserve"> accounts payable function has no record of the physical address of The XYZ Company. </w:t>
      </w:r>
    </w:p>
    <w:p w:rsidR="00033C9D" w:rsidRDefault="00033C9D" w:rsidP="00033C9D">
      <w:pPr>
        <w:ind w:left="-5"/>
      </w:pPr>
      <w:r>
        <w:t xml:space="preserve"> (c). </w:t>
      </w:r>
      <w:proofErr w:type="gramStart"/>
      <w:r>
        <w:t>The</w:t>
      </w:r>
      <w:proofErr w:type="gramEnd"/>
      <w:r>
        <w:t xml:space="preserve"> telephone number listed on the invoice was answered by an answering service on three different occasions over a ten – day period. The XYZ Company has not returned our messages. </w:t>
      </w:r>
    </w:p>
    <w:p w:rsidR="00033C9D" w:rsidRDefault="00033C9D" w:rsidP="00033C9D">
      <w:pPr>
        <w:ind w:left="-5"/>
      </w:pPr>
      <w:r>
        <w:lastRenderedPageBreak/>
        <w:t xml:space="preserve"> (d). </w:t>
      </w:r>
      <w:proofErr w:type="gramStart"/>
      <w:r>
        <w:t>The</w:t>
      </w:r>
      <w:proofErr w:type="gramEnd"/>
      <w:r>
        <w:t xml:space="preserve"> manager who purported to engage The XYZ Company was not aware of the physical location of The XYZ Company. </w:t>
      </w:r>
    </w:p>
    <w:p w:rsidR="00033C9D" w:rsidRDefault="00033C9D" w:rsidP="00033C9D">
      <w:pPr>
        <w:spacing w:after="212"/>
        <w:ind w:left="-5"/>
      </w:pPr>
      <w:r>
        <w:t xml:space="preserve"> (e). </w:t>
      </w:r>
      <w:proofErr w:type="gramStart"/>
      <w:r>
        <w:t>The</w:t>
      </w:r>
      <w:proofErr w:type="gramEnd"/>
      <w:r>
        <w:t xml:space="preserve"> incorporating documents for The XYZ Company were filed by the XYZ Formation Company. </w:t>
      </w:r>
    </w:p>
    <w:p w:rsidR="00033C9D" w:rsidRDefault="00033C9D" w:rsidP="00033C9D">
      <w:pPr>
        <w:ind w:left="-5"/>
      </w:pPr>
      <w:r>
        <w:t xml:space="preserve"> (f). The Prudent Auditing Corp. checks were endorsed with a stamp that states ―for deposit in Account Number 06041977‖. </w:t>
      </w:r>
    </w:p>
    <w:p w:rsidR="00033C9D" w:rsidRDefault="00033C9D" w:rsidP="00033C9D">
      <w:pPr>
        <w:numPr>
          <w:ilvl w:val="0"/>
          <w:numId w:val="37"/>
        </w:numPr>
        <w:spacing w:after="192" w:line="367" w:lineRule="auto"/>
        <w:ind w:right="2" w:hanging="240"/>
        <w:jc w:val="both"/>
      </w:pPr>
      <w:r>
        <w:t xml:space="preserve">Credible evidence exists to suggest that the services described on the XYZ invoices were not provided. </w:t>
      </w:r>
    </w:p>
    <w:p w:rsidR="00033C9D" w:rsidRDefault="00033C9D" w:rsidP="00033C9D">
      <w:pPr>
        <w:ind w:left="-5"/>
      </w:pPr>
      <w:r>
        <w:t>(</w:t>
      </w:r>
      <w:proofErr w:type="gramStart"/>
      <w:r>
        <w:t>a</w:t>
      </w:r>
      <w:proofErr w:type="gramEnd"/>
      <w:r>
        <w:t xml:space="preserve">). The XYZ Company provided no reports detailing the work performed under its consulting agreement. </w:t>
      </w:r>
    </w:p>
    <w:p w:rsidR="00033C9D" w:rsidRDefault="00033C9D" w:rsidP="00033C9D">
      <w:pPr>
        <w:ind w:left="-5"/>
      </w:pPr>
      <w:r>
        <w:t xml:space="preserve"> (b). </w:t>
      </w:r>
      <w:proofErr w:type="gramStart"/>
      <w:r>
        <w:t>The</w:t>
      </w:r>
      <w:proofErr w:type="gramEnd"/>
      <w:r>
        <w:t xml:space="preserve"> agreement between the Fraud Audit Corp. and The XYZ Company is silent on providing a report summarizing results or recommendations. </w:t>
      </w:r>
    </w:p>
    <w:p w:rsidR="00033C9D" w:rsidRDefault="00033C9D" w:rsidP="00033C9D">
      <w:pPr>
        <w:ind w:left="-5"/>
      </w:pPr>
      <w:r>
        <w:t xml:space="preserve"> (c). The Prudent Auditing Corp. manager who retained The XYZ Company indicated that all meetings with The XYZ Company occurred at the Prudent Auditing Corp offices. </w:t>
      </w:r>
    </w:p>
    <w:p w:rsidR="00033C9D" w:rsidRDefault="00033C9D" w:rsidP="00033C9D">
      <w:pPr>
        <w:spacing w:after="228"/>
        <w:ind w:left="-15" w:firstLine="60"/>
      </w:pPr>
      <w:r>
        <w:t xml:space="preserve">(d). The Fraud Audit Corp. manager was unable to provide a list of other Prudent Auditing Corp. employees who were present at the meetings with The XYZ Company. </w:t>
      </w:r>
    </w:p>
    <w:p w:rsidR="00033C9D" w:rsidRDefault="00033C9D" w:rsidP="00033C9D">
      <w:pPr>
        <w:ind w:left="-5"/>
      </w:pPr>
      <w:r>
        <w:t xml:space="preserve"> (e). There were no entries on the Fraud Audit Corp. manager‘s calendar indicating meetings with The XYZ Company. </w:t>
      </w:r>
    </w:p>
    <w:p w:rsidR="00033C9D" w:rsidRDefault="00033C9D" w:rsidP="00033C9D">
      <w:pPr>
        <w:spacing w:after="238"/>
        <w:ind w:left="-5"/>
      </w:pPr>
      <w:r>
        <w:t xml:space="preserve"> (f). </w:t>
      </w:r>
      <w:proofErr w:type="gramStart"/>
      <w:r>
        <w:t>We</w:t>
      </w:r>
      <w:proofErr w:type="gramEnd"/>
      <w:r>
        <w:t xml:space="preserve"> were unable to identify any Fraud Audit Corp. employees who had a recollection of meeting with The XYZ Company. </w:t>
      </w:r>
    </w:p>
    <w:p w:rsidR="00033C9D" w:rsidRDefault="00033C9D" w:rsidP="00033C9D">
      <w:pPr>
        <w:spacing w:after="315" w:line="259" w:lineRule="auto"/>
        <w:ind w:left="-5"/>
      </w:pPr>
      <w:r>
        <w:t xml:space="preserve"> (g). The XYZ Company invoices </w:t>
      </w:r>
      <w:proofErr w:type="gramStart"/>
      <w:r>
        <w:t>‘ description</w:t>
      </w:r>
      <w:proofErr w:type="gramEnd"/>
      <w:r>
        <w:t xml:space="preserve"> of services stated ―Services Rendered‖. </w:t>
      </w:r>
    </w:p>
    <w:p w:rsidR="00033C9D" w:rsidRDefault="00033C9D" w:rsidP="00033C9D">
      <w:pPr>
        <w:numPr>
          <w:ilvl w:val="0"/>
          <w:numId w:val="38"/>
        </w:numPr>
        <w:spacing w:after="192" w:line="367" w:lineRule="auto"/>
        <w:ind w:right="2" w:hanging="10"/>
        <w:jc w:val="both"/>
      </w:pPr>
      <w:r>
        <w:t xml:space="preserve">Credible evidence exists to suggest that internal employees either conspired to commit or committed the misappropriation of funds. </w:t>
      </w:r>
    </w:p>
    <w:p w:rsidR="00033C9D" w:rsidRDefault="00033C9D" w:rsidP="00033C9D">
      <w:pPr>
        <w:spacing w:after="235"/>
        <w:ind w:left="-5"/>
      </w:pPr>
      <w:r>
        <w:t>(</w:t>
      </w:r>
      <w:proofErr w:type="gramStart"/>
      <w:r>
        <w:t>a</w:t>
      </w:r>
      <w:proofErr w:type="gramEnd"/>
      <w:r>
        <w:t xml:space="preserve">). The hiring manager has stated he has no specific recollection of approving The XYZ Company invoices. </w:t>
      </w:r>
    </w:p>
    <w:p w:rsidR="00033C9D" w:rsidRDefault="00033C9D" w:rsidP="00033C9D">
      <w:pPr>
        <w:ind w:left="-5"/>
      </w:pPr>
      <w:r>
        <w:t xml:space="preserve"> (b). The approval signature purported to be that of the Fraud Audit Corp. ‘ s manager is similar to other known writing samples of the Fraud Audit Corp. ‘ s manager. </w:t>
      </w:r>
    </w:p>
    <w:p w:rsidR="00033C9D" w:rsidRDefault="00033C9D" w:rsidP="00033C9D">
      <w:pPr>
        <w:spacing w:after="238"/>
        <w:ind w:left="-5"/>
      </w:pPr>
      <w:r>
        <w:t xml:space="preserve"> (c). </w:t>
      </w:r>
      <w:proofErr w:type="gramStart"/>
      <w:r>
        <w:t>The</w:t>
      </w:r>
      <w:proofErr w:type="gramEnd"/>
      <w:r>
        <w:t xml:space="preserve"> accounts payable function has no specific recollection of processing The XYZ Company invoices for payment. </w:t>
      </w:r>
    </w:p>
    <w:p w:rsidR="00033C9D" w:rsidRDefault="00033C9D" w:rsidP="00033C9D">
      <w:pPr>
        <w:spacing w:after="238"/>
        <w:ind w:left="-5"/>
      </w:pPr>
      <w:r>
        <w:t xml:space="preserve"> (d). The first payment date on the Prudent Auditing Corp</w:t>
      </w:r>
      <w:proofErr w:type="gramStart"/>
      <w:r>
        <w:t>.‘s</w:t>
      </w:r>
      <w:proofErr w:type="gramEnd"/>
      <w:r>
        <w:t xml:space="preserve"> canceled check to The XYZ Company occurred five days after the incorporation of the date of The XYZ Company. </w:t>
      </w:r>
    </w:p>
    <w:p w:rsidR="00033C9D" w:rsidRDefault="00033C9D" w:rsidP="00033C9D">
      <w:pPr>
        <w:spacing w:after="314" w:line="259" w:lineRule="auto"/>
        <w:ind w:left="-5"/>
      </w:pPr>
      <w:r>
        <w:lastRenderedPageBreak/>
        <w:t xml:space="preserve"> (e). The incorporation data was obtained from the Secretary of State‘s Web site. </w:t>
      </w:r>
    </w:p>
    <w:p w:rsidR="00033C9D" w:rsidRDefault="00033C9D" w:rsidP="00033C9D">
      <w:pPr>
        <w:numPr>
          <w:ilvl w:val="0"/>
          <w:numId w:val="38"/>
        </w:numPr>
        <w:spacing w:after="192" w:line="367" w:lineRule="auto"/>
        <w:ind w:right="2" w:hanging="10"/>
        <w:jc w:val="both"/>
      </w:pPr>
      <w:r>
        <w:t xml:space="preserve">Credible evidence exists to suggest that person(s) involved knowingly converted Prudent Auditing Corp. funds for their own personal benefit. </w:t>
      </w:r>
    </w:p>
    <w:p w:rsidR="00033C9D" w:rsidRDefault="00033C9D" w:rsidP="00033C9D">
      <w:pPr>
        <w:ind w:left="-5"/>
      </w:pPr>
      <w:r>
        <w:t>(</w:t>
      </w:r>
      <w:proofErr w:type="gramStart"/>
      <w:r>
        <w:t>a</w:t>
      </w:r>
      <w:proofErr w:type="gramEnd"/>
      <w:r>
        <w:t xml:space="preserve">). The Fraud Audit Corp. manager is unable to provide any evidence that the services described on the vendor invoices were provided. </w:t>
      </w:r>
    </w:p>
    <w:p w:rsidR="00033C9D" w:rsidRDefault="00033C9D" w:rsidP="00033C9D">
      <w:pPr>
        <w:spacing w:line="259" w:lineRule="auto"/>
        <w:ind w:left="-5"/>
      </w:pPr>
      <w:r>
        <w:t xml:space="preserve"> (b). The XYZ Company is unwilling to respond to our inquiries regarding the investigation. </w:t>
      </w:r>
    </w:p>
    <w:p w:rsidR="00033C9D" w:rsidRDefault="00033C9D" w:rsidP="00033C9D">
      <w:pPr>
        <w:numPr>
          <w:ilvl w:val="0"/>
          <w:numId w:val="38"/>
        </w:numPr>
        <w:spacing w:after="192" w:line="367" w:lineRule="auto"/>
        <w:ind w:right="2" w:hanging="10"/>
        <w:jc w:val="both"/>
      </w:pPr>
      <w:r>
        <w:t xml:space="preserve">Credible evidence exists to suggest that the Prudent Auditing Corp. has suffered a loss of $ 120,000. </w:t>
      </w:r>
    </w:p>
    <w:p w:rsidR="00033C9D" w:rsidRDefault="00033C9D" w:rsidP="00033C9D">
      <w:pPr>
        <w:spacing w:after="314" w:line="259" w:lineRule="auto"/>
        <w:ind w:left="-5"/>
      </w:pPr>
      <w:r>
        <w:t>(</w:t>
      </w:r>
      <w:proofErr w:type="gramStart"/>
      <w:r>
        <w:t>a</w:t>
      </w:r>
      <w:proofErr w:type="gramEnd"/>
      <w:r>
        <w:t xml:space="preserve">). As identified on Exhibit 1, there are 12 payments to The XYZ Company totaling $ 120,000. </w:t>
      </w:r>
    </w:p>
    <w:p w:rsidR="00033C9D" w:rsidRDefault="00033C9D" w:rsidP="00033C9D">
      <w:pPr>
        <w:spacing w:after="319" w:line="259" w:lineRule="auto"/>
        <w:ind w:left="-5"/>
      </w:pPr>
      <w:r>
        <w:t xml:space="preserve"> (b). </w:t>
      </w:r>
      <w:proofErr w:type="gramStart"/>
      <w:r>
        <w:t>Each</w:t>
      </w:r>
      <w:proofErr w:type="gramEnd"/>
      <w:r>
        <w:t xml:space="preserve"> payment was for $ 10,000. </w:t>
      </w:r>
    </w:p>
    <w:p w:rsidR="00033C9D" w:rsidRDefault="00033C9D" w:rsidP="00033C9D">
      <w:pPr>
        <w:spacing w:after="306" w:line="265" w:lineRule="auto"/>
        <w:ind w:left="-5"/>
      </w:pPr>
      <w:r>
        <w:rPr>
          <w:rFonts w:ascii="Times New Roman" w:eastAsia="Times New Roman" w:hAnsi="Times New Roman" w:cs="Times New Roman"/>
          <w:b/>
        </w:rPr>
        <w:t xml:space="preserve">VI. Documents Necessary to Determine that the XYZ Company Is a Front Company </w:t>
      </w:r>
    </w:p>
    <w:p w:rsidR="00033C9D" w:rsidRDefault="00033C9D" w:rsidP="00033C9D">
      <w:pPr>
        <w:numPr>
          <w:ilvl w:val="0"/>
          <w:numId w:val="39"/>
        </w:numPr>
        <w:spacing w:after="315" w:line="259" w:lineRule="auto"/>
        <w:ind w:right="2" w:hanging="240"/>
        <w:jc w:val="both"/>
      </w:pPr>
      <w:r>
        <w:t xml:space="preserve">Documents submitted to the formation company to create the corporation. </w:t>
      </w:r>
    </w:p>
    <w:p w:rsidR="00033C9D" w:rsidRDefault="00033C9D" w:rsidP="00033C9D">
      <w:pPr>
        <w:numPr>
          <w:ilvl w:val="0"/>
          <w:numId w:val="39"/>
        </w:numPr>
        <w:spacing w:after="192" w:line="367" w:lineRule="auto"/>
        <w:ind w:right="2" w:hanging="240"/>
        <w:jc w:val="both"/>
      </w:pPr>
      <w:r>
        <w:t xml:space="preserve">Application for Creation of a Corporation used by the formation company to create The XYZ Company. </w:t>
      </w:r>
    </w:p>
    <w:p w:rsidR="00033C9D" w:rsidRDefault="00033C9D" w:rsidP="00033C9D">
      <w:pPr>
        <w:numPr>
          <w:ilvl w:val="0"/>
          <w:numId w:val="39"/>
        </w:numPr>
        <w:spacing w:after="192" w:line="367" w:lineRule="auto"/>
        <w:ind w:right="2" w:hanging="240"/>
        <w:jc w:val="both"/>
      </w:pPr>
      <w:r>
        <w:t xml:space="preserve">Documents submitted to the formation company for payment of services rendered to The XYZ Company. </w:t>
      </w:r>
    </w:p>
    <w:p w:rsidR="00033C9D" w:rsidRDefault="00033C9D" w:rsidP="00033C9D">
      <w:pPr>
        <w:numPr>
          <w:ilvl w:val="0"/>
          <w:numId w:val="39"/>
        </w:numPr>
        <w:spacing w:after="192" w:line="367" w:lineRule="auto"/>
        <w:ind w:right="2" w:hanging="240"/>
        <w:jc w:val="both"/>
      </w:pPr>
      <w:r>
        <w:t xml:space="preserve">The formation company telephone records for the month of creation and the month before and after the creation. </w:t>
      </w:r>
    </w:p>
    <w:p w:rsidR="00033C9D" w:rsidRDefault="00033C9D" w:rsidP="00033C9D">
      <w:pPr>
        <w:spacing w:after="196" w:line="357" w:lineRule="auto"/>
        <w:ind w:left="-5"/>
      </w:pPr>
      <w:r>
        <w:rPr>
          <w:rFonts w:ascii="Times New Roman" w:eastAsia="Times New Roman" w:hAnsi="Times New Roman" w:cs="Times New Roman"/>
          <w:b/>
        </w:rPr>
        <w:t xml:space="preserve">VII. Documents Necessary to Determine that Services Described on The XYZ Invoices Were Not Provided to the Prudent Auditing Corp. </w:t>
      </w:r>
    </w:p>
    <w:p w:rsidR="00033C9D" w:rsidRDefault="00033C9D" w:rsidP="00033C9D">
      <w:pPr>
        <w:numPr>
          <w:ilvl w:val="0"/>
          <w:numId w:val="40"/>
        </w:numPr>
        <w:spacing w:after="314" w:line="259" w:lineRule="auto"/>
        <w:ind w:right="2" w:hanging="240"/>
        <w:jc w:val="both"/>
      </w:pPr>
      <w:r>
        <w:t xml:space="preserve">No additional documents are required. </w:t>
      </w:r>
    </w:p>
    <w:p w:rsidR="00033C9D" w:rsidRDefault="00033C9D" w:rsidP="00033C9D">
      <w:pPr>
        <w:numPr>
          <w:ilvl w:val="0"/>
          <w:numId w:val="40"/>
        </w:numPr>
        <w:spacing w:after="192" w:line="367" w:lineRule="auto"/>
        <w:ind w:right="2" w:hanging="240"/>
        <w:jc w:val="both"/>
      </w:pPr>
      <w:r>
        <w:t xml:space="preserve">A formal statement from the Prudent Auditing Corp. </w:t>
      </w:r>
      <w:proofErr w:type="gramStart"/>
      <w:r>
        <w:t>manager ‘</w:t>
      </w:r>
      <w:proofErr w:type="gramEnd"/>
      <w:r>
        <w:t xml:space="preserve"> s recollection of the business relationship with The XYZ Company. </w:t>
      </w:r>
    </w:p>
    <w:p w:rsidR="00033C9D" w:rsidRDefault="00033C9D" w:rsidP="00033C9D">
      <w:pPr>
        <w:spacing w:after="106" w:line="265" w:lineRule="auto"/>
        <w:ind w:left="-5"/>
      </w:pPr>
      <w:r>
        <w:rPr>
          <w:rFonts w:ascii="Times New Roman" w:eastAsia="Times New Roman" w:hAnsi="Times New Roman" w:cs="Times New Roman"/>
          <w:b/>
        </w:rPr>
        <w:t xml:space="preserve">VIII. Documents Necessary to Determine that Internal Employees Either Conspired to </w:t>
      </w:r>
    </w:p>
    <w:p w:rsidR="00033C9D" w:rsidRDefault="00033C9D" w:rsidP="00033C9D">
      <w:pPr>
        <w:spacing w:after="306" w:line="265" w:lineRule="auto"/>
        <w:ind w:left="-5"/>
      </w:pPr>
      <w:r>
        <w:rPr>
          <w:rFonts w:ascii="Times New Roman" w:eastAsia="Times New Roman" w:hAnsi="Times New Roman" w:cs="Times New Roman"/>
          <w:b/>
        </w:rPr>
        <w:t xml:space="preserve">Commit or Committed the Misappropriation of Funds </w:t>
      </w:r>
    </w:p>
    <w:p w:rsidR="00033C9D" w:rsidRDefault="00033C9D" w:rsidP="00033C9D">
      <w:pPr>
        <w:numPr>
          <w:ilvl w:val="0"/>
          <w:numId w:val="41"/>
        </w:numPr>
        <w:spacing w:after="314" w:line="259" w:lineRule="auto"/>
        <w:ind w:right="2" w:hanging="240"/>
        <w:jc w:val="both"/>
      </w:pPr>
      <w:r>
        <w:lastRenderedPageBreak/>
        <w:t xml:space="preserve">No additional documents are required. </w:t>
      </w:r>
    </w:p>
    <w:p w:rsidR="00033C9D" w:rsidRDefault="00033C9D" w:rsidP="00033C9D">
      <w:pPr>
        <w:numPr>
          <w:ilvl w:val="0"/>
          <w:numId w:val="41"/>
        </w:numPr>
        <w:spacing w:after="192" w:line="367" w:lineRule="auto"/>
        <w:ind w:right="2" w:hanging="240"/>
        <w:jc w:val="both"/>
      </w:pPr>
      <w:r>
        <w:t xml:space="preserve">A handwriting expert should be considered to establish the authenticity of the approval signature on The XYZ </w:t>
      </w:r>
      <w:proofErr w:type="gramStart"/>
      <w:r>
        <w:t>Company ‘</w:t>
      </w:r>
      <w:proofErr w:type="gramEnd"/>
      <w:r>
        <w:t xml:space="preserve"> s invoices. </w:t>
      </w:r>
    </w:p>
    <w:p w:rsidR="00033C9D" w:rsidRDefault="00033C9D" w:rsidP="00033C9D">
      <w:pPr>
        <w:spacing w:after="306" w:line="358" w:lineRule="auto"/>
        <w:ind w:left="-5"/>
      </w:pPr>
      <w:r>
        <w:rPr>
          <w:rFonts w:ascii="Times New Roman" w:eastAsia="Times New Roman" w:hAnsi="Times New Roman" w:cs="Times New Roman"/>
          <w:b/>
        </w:rPr>
        <w:t xml:space="preserve">IX. Documents Necessary to </w:t>
      </w:r>
      <w:proofErr w:type="gramStart"/>
      <w:r>
        <w:rPr>
          <w:rFonts w:ascii="Times New Roman" w:eastAsia="Times New Roman" w:hAnsi="Times New Roman" w:cs="Times New Roman"/>
          <w:b/>
        </w:rPr>
        <w:t>Determine</w:t>
      </w:r>
      <w:proofErr w:type="gramEnd"/>
      <w:r>
        <w:rPr>
          <w:rFonts w:ascii="Times New Roman" w:eastAsia="Times New Roman" w:hAnsi="Times New Roman" w:cs="Times New Roman"/>
          <w:b/>
        </w:rPr>
        <w:t xml:space="preserve"> that Prudent Auditing Corp. has Suffered a Loss of $ 120,000 </w:t>
      </w:r>
    </w:p>
    <w:p w:rsidR="00033C9D" w:rsidRDefault="00033C9D" w:rsidP="00033C9D">
      <w:pPr>
        <w:spacing w:after="319" w:line="259" w:lineRule="auto"/>
        <w:ind w:left="-5"/>
      </w:pPr>
      <w:r>
        <w:t xml:space="preserve">1. No additional records are required. </w:t>
      </w:r>
    </w:p>
    <w:p w:rsidR="00033C9D" w:rsidRDefault="00033C9D" w:rsidP="00033C9D">
      <w:pPr>
        <w:spacing w:after="197" w:line="356" w:lineRule="auto"/>
        <w:ind w:left="-5"/>
      </w:pPr>
      <w:r>
        <w:rPr>
          <w:rFonts w:ascii="Times New Roman" w:eastAsia="Times New Roman" w:hAnsi="Times New Roman" w:cs="Times New Roman"/>
          <w:b/>
        </w:rPr>
        <w:t xml:space="preserve">X. Documents Necessary to Determine that Person(s) Involved Knowingly Converted Prudent Auditing Corp. Funds for Their Own Personal Benefit </w:t>
      </w:r>
    </w:p>
    <w:p w:rsidR="00033C9D" w:rsidRDefault="00033C9D" w:rsidP="00033C9D">
      <w:pPr>
        <w:numPr>
          <w:ilvl w:val="0"/>
          <w:numId w:val="42"/>
        </w:numPr>
        <w:spacing w:after="192" w:line="367" w:lineRule="auto"/>
        <w:ind w:right="2" w:hanging="240"/>
        <w:jc w:val="both"/>
      </w:pPr>
      <w:r>
        <w:t xml:space="preserve">All XYZ Company bank records of any and all accounts under signature authority of any of the named parties or entities, including but not limited to the known account numbers. </w:t>
      </w:r>
    </w:p>
    <w:p w:rsidR="00033C9D" w:rsidRDefault="00033C9D" w:rsidP="00033C9D">
      <w:pPr>
        <w:numPr>
          <w:ilvl w:val="0"/>
          <w:numId w:val="42"/>
        </w:numPr>
        <w:spacing w:after="192" w:line="367" w:lineRule="auto"/>
        <w:ind w:right="2" w:hanging="240"/>
        <w:jc w:val="both"/>
      </w:pPr>
      <w:r>
        <w:t xml:space="preserve">All personal bank records of any and all accounts under signature authority of any of the named parties or entities, including but not limited to the known account numbers. </w:t>
      </w:r>
    </w:p>
    <w:p w:rsidR="00033C9D" w:rsidRDefault="00033C9D" w:rsidP="00033C9D">
      <w:pPr>
        <w:numPr>
          <w:ilvl w:val="0"/>
          <w:numId w:val="42"/>
        </w:numPr>
        <w:spacing w:after="314" w:line="259" w:lineRule="auto"/>
        <w:ind w:right="2" w:hanging="240"/>
        <w:jc w:val="both"/>
      </w:pPr>
      <w:r>
        <w:t xml:space="preserve">All open or closed checking, savings, and money market accounts. </w:t>
      </w:r>
    </w:p>
    <w:p w:rsidR="00033C9D" w:rsidRDefault="00033C9D" w:rsidP="00033C9D">
      <w:pPr>
        <w:ind w:left="-5"/>
      </w:pPr>
      <w:r>
        <w:t xml:space="preserve">(a). Account opening documents including signature cards, copies of identification documents provided, and, if business account, copy of corporate resolution to open account and other business documents provided, which may include articles of incorporation for the business. </w:t>
      </w:r>
    </w:p>
    <w:p w:rsidR="00033C9D" w:rsidRDefault="00033C9D" w:rsidP="00033C9D">
      <w:pPr>
        <w:spacing w:after="314" w:line="259" w:lineRule="auto"/>
        <w:ind w:left="-5"/>
      </w:pPr>
      <w:r>
        <w:t xml:space="preserve"> (b). Bank statements. </w:t>
      </w:r>
    </w:p>
    <w:p w:rsidR="00033C9D" w:rsidRDefault="00033C9D" w:rsidP="00033C9D">
      <w:pPr>
        <w:spacing w:after="314" w:line="259" w:lineRule="auto"/>
        <w:ind w:left="-5"/>
      </w:pPr>
      <w:r>
        <w:t xml:space="preserve"> (c). Canceled checks (both sides). </w:t>
      </w:r>
    </w:p>
    <w:p w:rsidR="00033C9D" w:rsidRDefault="00033C9D" w:rsidP="00033C9D">
      <w:pPr>
        <w:spacing w:after="314" w:line="259" w:lineRule="auto"/>
        <w:ind w:left="-5"/>
      </w:pPr>
      <w:r>
        <w:t xml:space="preserve"> (d). Deposit tickets and items (both sides of items, including ATM </w:t>
      </w:r>
      <w:proofErr w:type="spellStart"/>
      <w:r>
        <w:t>anddirect</w:t>
      </w:r>
      <w:proofErr w:type="spellEnd"/>
      <w:r>
        <w:t xml:space="preserve"> deposits). </w:t>
      </w:r>
    </w:p>
    <w:p w:rsidR="00033C9D" w:rsidRDefault="00033C9D" w:rsidP="00033C9D">
      <w:pPr>
        <w:spacing w:after="314" w:line="259" w:lineRule="auto"/>
        <w:ind w:left="-5"/>
      </w:pPr>
      <w:r>
        <w:t xml:space="preserve"> (e). ATM withdrawals. </w:t>
      </w:r>
    </w:p>
    <w:p w:rsidR="00033C9D" w:rsidRDefault="00033C9D" w:rsidP="00033C9D">
      <w:pPr>
        <w:spacing w:after="312" w:line="259" w:lineRule="auto"/>
        <w:ind w:left="-5"/>
      </w:pPr>
      <w:r>
        <w:t xml:space="preserve"> (f). Credit and debit memos. </w:t>
      </w:r>
    </w:p>
    <w:p w:rsidR="00033C9D" w:rsidRDefault="00033C9D" w:rsidP="00033C9D">
      <w:pPr>
        <w:spacing w:after="314" w:line="259" w:lineRule="auto"/>
        <w:ind w:left="-5"/>
      </w:pPr>
      <w:r>
        <w:t xml:space="preserve"> (g). Telephone transfer slips. </w:t>
      </w:r>
    </w:p>
    <w:p w:rsidR="00033C9D" w:rsidRDefault="00033C9D" w:rsidP="00033C9D">
      <w:pPr>
        <w:spacing w:after="314" w:line="259" w:lineRule="auto"/>
        <w:ind w:left="-5"/>
      </w:pPr>
      <w:r>
        <w:t xml:space="preserve"> (h). Wire transfer records. </w:t>
      </w:r>
    </w:p>
    <w:p w:rsidR="00033C9D" w:rsidRDefault="00033C9D" w:rsidP="00033C9D">
      <w:pPr>
        <w:spacing w:after="319" w:line="259" w:lineRule="auto"/>
        <w:ind w:left="-5"/>
      </w:pPr>
      <w:r>
        <w:lastRenderedPageBreak/>
        <w:t xml:space="preserve"> (</w:t>
      </w:r>
      <w:proofErr w:type="spellStart"/>
      <w:r>
        <w:t>i</w:t>
      </w:r>
      <w:proofErr w:type="spellEnd"/>
      <w:r>
        <w:t xml:space="preserve">). Forms 1099 or backup withholding statements. </w:t>
      </w:r>
    </w:p>
    <w:p w:rsidR="00033C9D" w:rsidRDefault="00033C9D" w:rsidP="00033C9D">
      <w:pPr>
        <w:numPr>
          <w:ilvl w:val="0"/>
          <w:numId w:val="43"/>
        </w:numPr>
        <w:spacing w:after="306" w:line="265" w:lineRule="auto"/>
        <w:ind w:hanging="480"/>
        <w:jc w:val="both"/>
      </w:pPr>
      <w:r>
        <w:rPr>
          <w:rFonts w:ascii="Times New Roman" w:eastAsia="Times New Roman" w:hAnsi="Times New Roman" w:cs="Times New Roman"/>
          <w:b/>
        </w:rPr>
        <w:t xml:space="preserve">Document Request General Counsel of the Prudent Auditing </w:t>
      </w:r>
    </w:p>
    <w:p w:rsidR="00033C9D" w:rsidRDefault="00033C9D" w:rsidP="00033C9D">
      <w:pPr>
        <w:ind w:left="-5"/>
      </w:pPr>
      <w:r>
        <w:t xml:space="preserve">Corporation has been requested to obtain the documents requested in this report. The bank providing the bank records of The XYZ Company should provide a certification letter as to the authenticity of the bank records. </w:t>
      </w:r>
    </w:p>
    <w:p w:rsidR="00033C9D" w:rsidRDefault="00033C9D" w:rsidP="00033C9D">
      <w:pPr>
        <w:ind w:left="-5"/>
      </w:pPr>
      <w:r>
        <w:t xml:space="preserve">The examination of the requested documents could result in a further request for documents for an expanded period of time, either greater than the document request date or a more historical time frame. </w:t>
      </w:r>
    </w:p>
    <w:p w:rsidR="00033C9D" w:rsidRDefault="00033C9D" w:rsidP="00033C9D">
      <w:pPr>
        <w:numPr>
          <w:ilvl w:val="0"/>
          <w:numId w:val="43"/>
        </w:numPr>
        <w:spacing w:after="306" w:line="265" w:lineRule="auto"/>
        <w:ind w:hanging="480"/>
        <w:jc w:val="both"/>
      </w:pPr>
      <w:r>
        <w:rPr>
          <w:rFonts w:ascii="Times New Roman" w:eastAsia="Times New Roman" w:hAnsi="Times New Roman" w:cs="Times New Roman"/>
          <w:b/>
        </w:rPr>
        <w:t xml:space="preserve">Compensation </w:t>
      </w:r>
    </w:p>
    <w:p w:rsidR="00033C9D" w:rsidRDefault="00033C9D" w:rsidP="00033C9D">
      <w:pPr>
        <w:ind w:left="-5"/>
      </w:pPr>
      <w:r>
        <w:t xml:space="preserve">I am being compensated for my services in this matter at my firm‘s standard hourly rates for my work in analyzing the defendant‘s data and underlying documentation and for preparing this report. </w:t>
      </w:r>
    </w:p>
    <w:p w:rsidR="00033C9D" w:rsidRDefault="00033C9D" w:rsidP="00033C9D">
      <w:pPr>
        <w:numPr>
          <w:ilvl w:val="0"/>
          <w:numId w:val="44"/>
        </w:numPr>
        <w:spacing w:after="306" w:line="265" w:lineRule="auto"/>
        <w:ind w:hanging="573"/>
        <w:jc w:val="both"/>
      </w:pPr>
      <w:r>
        <w:rPr>
          <w:rFonts w:ascii="Times New Roman" w:eastAsia="Times New Roman" w:hAnsi="Times New Roman" w:cs="Times New Roman"/>
          <w:b/>
        </w:rPr>
        <w:t>Professional Background</w:t>
      </w:r>
      <w:r>
        <w:t xml:space="preserve"> </w:t>
      </w:r>
    </w:p>
    <w:p w:rsidR="00033C9D" w:rsidRDefault="00033C9D" w:rsidP="00033C9D">
      <w:pPr>
        <w:spacing w:after="319" w:line="259" w:lineRule="auto"/>
        <w:ind w:left="-5"/>
      </w:pPr>
      <w:r>
        <w:t xml:space="preserve">My CV has been provided to the General Counsel of the Prudent Auditing Corp. </w:t>
      </w:r>
    </w:p>
    <w:p w:rsidR="00033C9D" w:rsidRDefault="00033C9D" w:rsidP="00033C9D">
      <w:pPr>
        <w:numPr>
          <w:ilvl w:val="0"/>
          <w:numId w:val="44"/>
        </w:numPr>
        <w:spacing w:after="306" w:line="265" w:lineRule="auto"/>
        <w:ind w:hanging="573"/>
        <w:jc w:val="both"/>
      </w:pPr>
      <w:r>
        <w:rPr>
          <w:rFonts w:ascii="Times New Roman" w:eastAsia="Times New Roman" w:hAnsi="Times New Roman" w:cs="Times New Roman"/>
          <w:b/>
        </w:rPr>
        <w:t xml:space="preserve">End of Report </w:t>
      </w:r>
    </w:p>
    <w:p w:rsidR="00033C9D" w:rsidRDefault="00033C9D" w:rsidP="00033C9D">
      <w:pPr>
        <w:ind w:left="-5"/>
      </w:pPr>
      <w:r>
        <w:t xml:space="preserve">Insofar as discovery is continued in this matter, I reserve the right to supplement or otherwise amend this report regarding factual assumptions, theories of fraud, and statements of opinions. </w:t>
      </w:r>
    </w:p>
    <w:p w:rsidR="00033C9D" w:rsidRDefault="00033C9D" w:rsidP="00033C9D">
      <w:pPr>
        <w:spacing w:after="306" w:line="265" w:lineRule="auto"/>
        <w:ind w:left="-5"/>
      </w:pPr>
      <w:r>
        <w:rPr>
          <w:rFonts w:ascii="Times New Roman" w:eastAsia="Times New Roman" w:hAnsi="Times New Roman" w:cs="Times New Roman"/>
          <w:b/>
        </w:rPr>
        <w:t xml:space="preserve">Respectfully submitted, </w:t>
      </w:r>
    </w:p>
    <w:p w:rsidR="00033C9D" w:rsidRDefault="00033C9D" w:rsidP="00033C9D">
      <w:pPr>
        <w:spacing w:after="306" w:line="265" w:lineRule="auto"/>
        <w:ind w:left="-5"/>
      </w:pPr>
      <w:r>
        <w:rPr>
          <w:rFonts w:ascii="Times New Roman" w:eastAsia="Times New Roman" w:hAnsi="Times New Roman" w:cs="Times New Roman"/>
          <w:b/>
        </w:rPr>
        <w:t xml:space="preserve">Lie Dharma Putra, CPA &amp; CFE </w:t>
      </w:r>
    </w:p>
    <w:p w:rsidR="00033C9D" w:rsidRDefault="00033C9D" w:rsidP="007F3C23">
      <w:pPr>
        <w:autoSpaceDE w:val="0"/>
        <w:autoSpaceDN w:val="0"/>
        <w:adjustRightInd w:val="0"/>
        <w:spacing w:after="0" w:line="240" w:lineRule="auto"/>
        <w:jc w:val="both"/>
        <w:rPr>
          <w:rFonts w:ascii="Book Antiqua" w:hAnsi="Book Antiqua"/>
          <w:b/>
          <w:bCs/>
          <w:sz w:val="20"/>
          <w:szCs w:val="20"/>
        </w:rPr>
      </w:pPr>
      <w:bookmarkStart w:id="0" w:name="_GoBack"/>
      <w:bookmarkEnd w:id="0"/>
    </w:p>
    <w:p w:rsidR="00033C9D" w:rsidRPr="00B25CFD" w:rsidRDefault="00033C9D" w:rsidP="007F3C23">
      <w:pPr>
        <w:autoSpaceDE w:val="0"/>
        <w:autoSpaceDN w:val="0"/>
        <w:adjustRightInd w:val="0"/>
        <w:spacing w:after="0" w:line="240" w:lineRule="auto"/>
        <w:jc w:val="both"/>
        <w:rPr>
          <w:rFonts w:ascii="Book Antiqua" w:hAnsi="Book Antiqua"/>
          <w:bCs/>
          <w:sz w:val="24"/>
          <w:szCs w:val="24"/>
        </w:rPr>
      </w:pPr>
    </w:p>
    <w:p w:rsidR="007B2D54" w:rsidRPr="002F1840" w:rsidRDefault="007B2D54" w:rsidP="007B2D54">
      <w:pPr>
        <w:spacing w:after="0"/>
        <w:ind w:left="-426" w:right="-574"/>
        <w:rPr>
          <w:rFonts w:ascii="Book Antiqua" w:hAnsi="Book Antiqua"/>
          <w:bCs/>
          <w:sz w:val="24"/>
          <w:szCs w:val="24"/>
        </w:rPr>
      </w:pPr>
    </w:p>
    <w:p w:rsidR="007B2D54" w:rsidRPr="002F1840" w:rsidRDefault="002F1840" w:rsidP="002F1840">
      <w:pPr>
        <w:spacing w:after="0"/>
        <w:ind w:left="-426" w:right="-574"/>
        <w:rPr>
          <w:rFonts w:ascii="Book Antiqua" w:hAnsi="Book Antiqua"/>
          <w:b/>
          <w:bCs/>
          <w:sz w:val="28"/>
          <w:szCs w:val="28"/>
        </w:rPr>
      </w:pPr>
      <w:r w:rsidRPr="002F1840">
        <w:rPr>
          <w:rFonts w:ascii="Book Antiqua" w:hAnsi="Book Antiqua"/>
          <w:b/>
          <w:bCs/>
          <w:sz w:val="28"/>
          <w:szCs w:val="28"/>
        </w:rPr>
        <w:t xml:space="preserve">                                           </w:t>
      </w:r>
      <w:r w:rsidR="007F3C23">
        <w:rPr>
          <w:rFonts w:ascii="Book Antiqua" w:hAnsi="Book Antiqua"/>
          <w:b/>
          <w:bCs/>
          <w:sz w:val="28"/>
          <w:szCs w:val="28"/>
        </w:rPr>
        <w:t xml:space="preserve">                       </w:t>
      </w:r>
      <w:r w:rsidRPr="002F1840">
        <w:rPr>
          <w:rFonts w:ascii="Book Antiqua" w:hAnsi="Book Antiqua"/>
          <w:b/>
          <w:bCs/>
          <w:sz w:val="28"/>
          <w:szCs w:val="28"/>
        </w:rPr>
        <w:t>The End</w:t>
      </w:r>
    </w:p>
    <w:p w:rsidR="00C55AD0" w:rsidRPr="007B2D54" w:rsidRDefault="00D81504" w:rsidP="00D81504">
      <w:pPr>
        <w:spacing w:after="0"/>
        <w:ind w:left="-426" w:right="-574"/>
        <w:rPr>
          <w:rFonts w:ascii="Book Antiqua" w:hAnsi="Book Antiqua"/>
          <w:b/>
          <w:bCs/>
          <w:sz w:val="24"/>
          <w:szCs w:val="24"/>
        </w:rPr>
      </w:pPr>
      <w:r w:rsidRPr="007B2D54">
        <w:rPr>
          <w:rFonts w:ascii="Book Antiqua" w:hAnsi="Book Antiqua"/>
          <w:b/>
          <w:bCs/>
          <w:sz w:val="24"/>
          <w:szCs w:val="24"/>
        </w:rPr>
        <w:tab/>
      </w:r>
      <w:r w:rsidRPr="007B2D54">
        <w:rPr>
          <w:rFonts w:ascii="Book Antiqua" w:hAnsi="Book Antiqua"/>
          <w:b/>
          <w:bCs/>
          <w:sz w:val="24"/>
          <w:szCs w:val="24"/>
        </w:rPr>
        <w:tab/>
      </w:r>
      <w:r w:rsidRPr="007B2D54">
        <w:rPr>
          <w:rFonts w:ascii="Book Antiqua" w:hAnsi="Book Antiqua"/>
          <w:b/>
          <w:bCs/>
          <w:sz w:val="24"/>
          <w:szCs w:val="24"/>
        </w:rPr>
        <w:tab/>
      </w:r>
      <w:r w:rsidRPr="007B2D54">
        <w:rPr>
          <w:rFonts w:ascii="Book Antiqua" w:hAnsi="Book Antiqua"/>
          <w:b/>
          <w:bCs/>
          <w:sz w:val="24"/>
          <w:szCs w:val="24"/>
        </w:rPr>
        <w:tab/>
      </w:r>
      <w:r w:rsidRPr="007B2D54">
        <w:rPr>
          <w:rFonts w:ascii="Book Antiqua" w:hAnsi="Book Antiqua"/>
          <w:b/>
          <w:bCs/>
          <w:sz w:val="24"/>
          <w:szCs w:val="24"/>
        </w:rPr>
        <w:tab/>
      </w:r>
    </w:p>
    <w:sectPr w:rsidR="00C55AD0" w:rsidRPr="007B2D54" w:rsidSect="00051CF4">
      <w:headerReference w:type="default" r:id="rId8"/>
      <w:footerReference w:type="default" r:id="rId9"/>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A71" w:rsidRDefault="00675A71" w:rsidP="003540A8">
      <w:pPr>
        <w:spacing w:after="0" w:line="240" w:lineRule="auto"/>
      </w:pPr>
      <w:r>
        <w:separator/>
      </w:r>
    </w:p>
  </w:endnote>
  <w:endnote w:type="continuationSeparator" w:id="0">
    <w:p w:rsidR="00675A71" w:rsidRDefault="00675A71"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imes New Roman,Bold">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Default="003540A8">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97F39">
              <w:rPr>
                <w:b/>
                <w:bCs/>
                <w:noProof/>
              </w:rPr>
              <w:t>24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97F39">
              <w:rPr>
                <w:b/>
                <w:bCs/>
                <w:noProof/>
              </w:rPr>
              <w:t>25</w:t>
            </w:r>
            <w:r>
              <w:rPr>
                <w:b/>
                <w:bCs/>
                <w:sz w:val="24"/>
                <w:szCs w:val="24"/>
              </w:rPr>
              <w:fldChar w:fldCharType="end"/>
            </w:r>
          </w:sdtContent>
        </w:sdt>
      </w:sdtContent>
    </w:sdt>
  </w:p>
  <w:p w:rsidR="003540A8" w:rsidRPr="003540A8" w:rsidRDefault="003540A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A71" w:rsidRDefault="00675A71" w:rsidP="003540A8">
      <w:pPr>
        <w:spacing w:after="0" w:line="240" w:lineRule="auto"/>
      </w:pPr>
      <w:r>
        <w:separator/>
      </w:r>
    </w:p>
  </w:footnote>
  <w:footnote w:type="continuationSeparator" w:id="0">
    <w:p w:rsidR="00675A71" w:rsidRDefault="00675A71"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FD1" w:rsidRDefault="00EC3FD1" w:rsidP="00EC3FD1">
    <w:pPr>
      <w:pStyle w:val="Header"/>
      <w:jc w:val="center"/>
    </w:pPr>
    <w:r>
      <w:rPr>
        <w:noProof/>
        <w:lang w:val="en-GB" w:eastAsia="en-GB"/>
      </w:rPr>
      <w:drawing>
        <wp:inline distT="0" distB="0" distL="0" distR="0" wp14:anchorId="78DD7E38" wp14:editId="64403050">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14B0E11D" wp14:editId="60B8C005">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EC3FD1" w:rsidRDefault="003540A8" w:rsidP="003540A8">
    <w:pPr>
      <w:pStyle w:val="Header"/>
      <w:rPr>
        <w:rFonts w:ascii="Berlin Sans FB Demi" w:hAnsi="Berlin Sans FB Demi"/>
      </w:rPr>
    </w:pPr>
    <w:r>
      <w:t xml:space="preserve"> </w:t>
    </w:r>
    <w:r>
      <w:rPr>
        <w:rFonts w:ascii="Berlin Sans FB Demi" w:hAnsi="Berlin Sans FB Demi"/>
      </w:rPr>
      <w:t xml:space="preserve"> </w:t>
    </w:r>
  </w:p>
  <w:p w:rsidR="00EC3FD1" w:rsidRDefault="003540A8" w:rsidP="00EC3FD1">
    <w:pPr>
      <w:pStyle w:val="Header"/>
      <w:jc w:val="center"/>
      <w:rPr>
        <w:rFonts w:ascii="Berlin Sans FB Demi" w:hAnsi="Berlin Sans FB Demi"/>
      </w:rPr>
    </w:pPr>
    <w:r>
      <w:rPr>
        <w:rFonts w:ascii="Berlin Sans FB Demi" w:hAnsi="Berlin Sans FB Demi"/>
      </w:rPr>
      <w:t>The Institute of Certified Public Accountants of Pakistan (ICPAP)</w:t>
    </w:r>
  </w:p>
  <w:p w:rsidR="003540A8" w:rsidRPr="003540A8" w:rsidRDefault="003540A8" w:rsidP="003540A8">
    <w:pPr>
      <w:pStyle w:val="Header"/>
      <w:rPr>
        <w:rFonts w:ascii="Berlin Sans FB Demi" w:hAnsi="Berlin Sans FB Dem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65C50"/>
    <w:multiLevelType w:val="hybridMultilevel"/>
    <w:tmpl w:val="52DAEC36"/>
    <w:lvl w:ilvl="0" w:tplc="822E96A0">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28825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A016B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549C1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E6477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4EF29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8A629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CE9C0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EFB3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C30694"/>
    <w:multiLevelType w:val="hybridMultilevel"/>
    <w:tmpl w:val="26B8C7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714A39"/>
    <w:multiLevelType w:val="hybridMultilevel"/>
    <w:tmpl w:val="60341568"/>
    <w:lvl w:ilvl="0" w:tplc="AE662CF0">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2B6A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BABFF8">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21C082E">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346A804">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1E80930">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2B8088A">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B40F7BC">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DF4852E">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0C7423"/>
    <w:multiLevelType w:val="hybridMultilevel"/>
    <w:tmpl w:val="7FE64232"/>
    <w:lvl w:ilvl="0" w:tplc="CC928302">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DF6DD22">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C46FD0E">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5B835A6">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438793E">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7A6C816">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33671AA">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79260F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DA63104">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3FD101A"/>
    <w:multiLevelType w:val="hybridMultilevel"/>
    <w:tmpl w:val="E198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0719F"/>
    <w:multiLevelType w:val="hybridMultilevel"/>
    <w:tmpl w:val="699ABCA8"/>
    <w:lvl w:ilvl="0" w:tplc="EE28037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92C8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5454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74B4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92C1A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7A5E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3A69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8257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C077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208C1"/>
    <w:multiLevelType w:val="hybridMultilevel"/>
    <w:tmpl w:val="135E74E8"/>
    <w:lvl w:ilvl="0" w:tplc="56486B92">
      <w:start w:val="13"/>
      <w:numFmt w:val="upperRoman"/>
      <w:lvlText w:val="%1."/>
      <w:lvlJc w:val="left"/>
      <w:pPr>
        <w:ind w:left="5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3E2867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8AAD9E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2EE1D4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73EC5C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3CE29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2283D1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A00208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7DCC44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C45755"/>
    <w:multiLevelType w:val="hybridMultilevel"/>
    <w:tmpl w:val="35BCFDFE"/>
    <w:lvl w:ilvl="0" w:tplc="B58671B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F66C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28A3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2E4B4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589EA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6A7C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F8A7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5C28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F250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522817"/>
    <w:multiLevelType w:val="hybridMultilevel"/>
    <w:tmpl w:val="5674F482"/>
    <w:lvl w:ilvl="0" w:tplc="AD54E8EA">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02763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DCF97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842E4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F23A2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7AA80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D4D9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00651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2EF20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C23A4E"/>
    <w:multiLevelType w:val="hybridMultilevel"/>
    <w:tmpl w:val="04823E38"/>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6" w:hanging="360"/>
      </w:pPr>
    </w:lvl>
    <w:lvl w:ilvl="2" w:tplc="0809001B" w:tentative="1">
      <w:start w:val="1"/>
      <w:numFmt w:val="lowerRoman"/>
      <w:lvlText w:val="%3."/>
      <w:lvlJc w:val="right"/>
      <w:pPr>
        <w:ind w:left="2166" w:hanging="180"/>
      </w:pPr>
    </w:lvl>
    <w:lvl w:ilvl="3" w:tplc="0809000F" w:tentative="1">
      <w:start w:val="1"/>
      <w:numFmt w:val="decimal"/>
      <w:lvlText w:val="%4."/>
      <w:lvlJc w:val="left"/>
      <w:pPr>
        <w:ind w:left="2886" w:hanging="360"/>
      </w:pPr>
    </w:lvl>
    <w:lvl w:ilvl="4" w:tplc="08090019" w:tentative="1">
      <w:start w:val="1"/>
      <w:numFmt w:val="lowerLetter"/>
      <w:lvlText w:val="%5."/>
      <w:lvlJc w:val="left"/>
      <w:pPr>
        <w:ind w:left="3606" w:hanging="360"/>
      </w:pPr>
    </w:lvl>
    <w:lvl w:ilvl="5" w:tplc="0809001B" w:tentative="1">
      <w:start w:val="1"/>
      <w:numFmt w:val="lowerRoman"/>
      <w:lvlText w:val="%6."/>
      <w:lvlJc w:val="right"/>
      <w:pPr>
        <w:ind w:left="4326" w:hanging="180"/>
      </w:pPr>
    </w:lvl>
    <w:lvl w:ilvl="6" w:tplc="0809000F" w:tentative="1">
      <w:start w:val="1"/>
      <w:numFmt w:val="decimal"/>
      <w:lvlText w:val="%7."/>
      <w:lvlJc w:val="left"/>
      <w:pPr>
        <w:ind w:left="5046" w:hanging="360"/>
      </w:pPr>
    </w:lvl>
    <w:lvl w:ilvl="7" w:tplc="08090019" w:tentative="1">
      <w:start w:val="1"/>
      <w:numFmt w:val="lowerLetter"/>
      <w:lvlText w:val="%8."/>
      <w:lvlJc w:val="left"/>
      <w:pPr>
        <w:ind w:left="5766" w:hanging="360"/>
      </w:pPr>
    </w:lvl>
    <w:lvl w:ilvl="8" w:tplc="0809001B" w:tentative="1">
      <w:start w:val="1"/>
      <w:numFmt w:val="lowerRoman"/>
      <w:lvlText w:val="%9."/>
      <w:lvlJc w:val="right"/>
      <w:pPr>
        <w:ind w:left="6486" w:hanging="180"/>
      </w:pPr>
    </w:lvl>
  </w:abstractNum>
  <w:abstractNum w:abstractNumId="20" w15:restartNumberingAfterBreak="0">
    <w:nsid w:val="4ECC2910"/>
    <w:multiLevelType w:val="hybridMultilevel"/>
    <w:tmpl w:val="00946AE0"/>
    <w:lvl w:ilvl="0" w:tplc="80DAA648">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DC73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9E18D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AC20D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884DB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6416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8C2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8838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C094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F36E4B"/>
    <w:multiLevelType w:val="hybridMultilevel"/>
    <w:tmpl w:val="F1ACDBF2"/>
    <w:lvl w:ilvl="0" w:tplc="6C7E7512">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8E60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5A725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6867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DA44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FE0C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1420C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30416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982FC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09C4640"/>
    <w:multiLevelType w:val="hybridMultilevel"/>
    <w:tmpl w:val="AFF867C8"/>
    <w:lvl w:ilvl="0" w:tplc="C4186CD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027D9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24EC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36251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8C8D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2E22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E6316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18CDB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7C99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20A1B82"/>
    <w:multiLevelType w:val="hybridMultilevel"/>
    <w:tmpl w:val="F5EC27F8"/>
    <w:lvl w:ilvl="0" w:tplc="DBF86258">
      <w:start w:val="1"/>
      <w:numFmt w:val="decimal"/>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20DF7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588D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C6B60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6A210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22EB4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9A06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6A5C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30DA0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D568D1"/>
    <w:multiLevelType w:val="hybridMultilevel"/>
    <w:tmpl w:val="C456B11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7A0475"/>
    <w:multiLevelType w:val="hybridMultilevel"/>
    <w:tmpl w:val="4B021464"/>
    <w:lvl w:ilvl="0" w:tplc="C152E86C">
      <w:start w:val="3"/>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C8AE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7CE4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5C0AB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5EF4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3A96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C49AC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DE41E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84FD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0BC4A01"/>
    <w:multiLevelType w:val="hybridMultilevel"/>
    <w:tmpl w:val="A218F7C6"/>
    <w:lvl w:ilvl="0" w:tplc="2D988C2E">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6BA76C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B6A1F66">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0340DB8">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F642B18">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22D3E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46EE992">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C9C0AF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DF0B20A">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69E0680"/>
    <w:multiLevelType w:val="hybridMultilevel"/>
    <w:tmpl w:val="12C2D9A8"/>
    <w:lvl w:ilvl="0" w:tplc="A274BC9A">
      <w:start w:val="4"/>
      <w:numFmt w:val="upperRoman"/>
      <w:lvlText w:val="%1."/>
      <w:lvlJc w:val="left"/>
      <w:pPr>
        <w:ind w:left="3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26628C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578168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5E6205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49CC1F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686DF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782D1C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D6AC56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16DDB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70744F2"/>
    <w:multiLevelType w:val="hybridMultilevel"/>
    <w:tmpl w:val="88DA7DAE"/>
    <w:lvl w:ilvl="0" w:tplc="1C5089B8">
      <w:start w:val="1"/>
      <w:numFmt w:val="bullet"/>
      <w:lvlText w:val="•"/>
      <w:lvlJc w:val="left"/>
      <w:pPr>
        <w:ind w:left="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0EE46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963C4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9C2B5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5C1FF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6CA8F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7E998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F033B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DC2F0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A093A34"/>
    <w:multiLevelType w:val="hybridMultilevel"/>
    <w:tmpl w:val="3BEAE0C0"/>
    <w:lvl w:ilvl="0" w:tplc="A04AD3D8">
      <w:start w:val="6"/>
      <w:numFmt w:val="upperRoman"/>
      <w:lvlText w:val="%1."/>
      <w:lvlJc w:val="left"/>
      <w:pPr>
        <w:ind w:left="5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4D43CA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F70F04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6EE7EA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4642C7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438F03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8180C8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56CD2C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37AA10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BB559A6"/>
    <w:multiLevelType w:val="hybridMultilevel"/>
    <w:tmpl w:val="1978883E"/>
    <w:lvl w:ilvl="0" w:tplc="2FDEDD1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FCBA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1823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5680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C4E47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A84E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56B1B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269B6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04DA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E4588"/>
    <w:multiLevelType w:val="hybridMultilevel"/>
    <w:tmpl w:val="838655D6"/>
    <w:lvl w:ilvl="0" w:tplc="49709E30">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34586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BC00B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B8C8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FE127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00875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84101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44267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42E7F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80400F5"/>
    <w:multiLevelType w:val="hybridMultilevel"/>
    <w:tmpl w:val="ECF4F0CC"/>
    <w:lvl w:ilvl="0" w:tplc="419C5CE0">
      <w:start w:val="11"/>
      <w:numFmt w:val="upperRoman"/>
      <w:lvlText w:val="%1."/>
      <w:lvlJc w:val="left"/>
      <w:pPr>
        <w:ind w:left="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6F66C90">
      <w:start w:val="1"/>
      <w:numFmt w:val="lowerLetter"/>
      <w:lvlText w:val="%2"/>
      <w:lvlJc w:val="left"/>
      <w:pPr>
        <w:ind w:left="1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F384C80">
      <w:start w:val="1"/>
      <w:numFmt w:val="lowerRoman"/>
      <w:lvlText w:val="%3"/>
      <w:lvlJc w:val="left"/>
      <w:pPr>
        <w:ind w:left="1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1251C6">
      <w:start w:val="1"/>
      <w:numFmt w:val="decimal"/>
      <w:lvlText w:val="%4"/>
      <w:lvlJc w:val="left"/>
      <w:pPr>
        <w:ind w:left="2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0CAC3F2">
      <w:start w:val="1"/>
      <w:numFmt w:val="lowerLetter"/>
      <w:lvlText w:val="%5"/>
      <w:lvlJc w:val="left"/>
      <w:pPr>
        <w:ind w:left="32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6D00EA0">
      <w:start w:val="1"/>
      <w:numFmt w:val="lowerRoman"/>
      <w:lvlText w:val="%6"/>
      <w:lvlJc w:val="left"/>
      <w:pPr>
        <w:ind w:left="39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7302986">
      <w:start w:val="1"/>
      <w:numFmt w:val="decimal"/>
      <w:lvlText w:val="%7"/>
      <w:lvlJc w:val="left"/>
      <w:pPr>
        <w:ind w:left="47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A94EC9A">
      <w:start w:val="1"/>
      <w:numFmt w:val="lowerLetter"/>
      <w:lvlText w:val="%8"/>
      <w:lvlJc w:val="left"/>
      <w:pPr>
        <w:ind w:left="5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23A5B84">
      <w:start w:val="1"/>
      <w:numFmt w:val="lowerRoman"/>
      <w:lvlText w:val="%9"/>
      <w:lvlJc w:val="left"/>
      <w:pPr>
        <w:ind w:left="61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8C022CE"/>
    <w:multiLevelType w:val="hybridMultilevel"/>
    <w:tmpl w:val="DF763CEE"/>
    <w:lvl w:ilvl="0" w:tplc="C41CE9B8">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1F2784E">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9A891B0">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9681A46">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A9C7FFC">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FA443E4">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3385C7E">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B90F9BA">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D87CF8">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1B3126"/>
    <w:multiLevelType w:val="hybridMultilevel"/>
    <w:tmpl w:val="66B819EE"/>
    <w:lvl w:ilvl="0" w:tplc="224077CC">
      <w:start w:val="1"/>
      <w:numFmt w:val="upperRoman"/>
      <w:lvlText w:val="%1."/>
      <w:lvlJc w:val="left"/>
      <w:pPr>
        <w:ind w:left="3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B8AEEB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A4216D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DA2E5A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36A75C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64A02A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56A076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B5E134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5F6477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8"/>
  </w:num>
  <w:num w:numId="4">
    <w:abstractNumId w:val="43"/>
  </w:num>
  <w:num w:numId="5">
    <w:abstractNumId w:val="36"/>
  </w:num>
  <w:num w:numId="6">
    <w:abstractNumId w:val="13"/>
  </w:num>
  <w:num w:numId="7">
    <w:abstractNumId w:val="37"/>
  </w:num>
  <w:num w:numId="8">
    <w:abstractNumId w:val="18"/>
  </w:num>
  <w:num w:numId="9">
    <w:abstractNumId w:val="17"/>
  </w:num>
  <w:num w:numId="10">
    <w:abstractNumId w:val="26"/>
  </w:num>
  <w:num w:numId="11">
    <w:abstractNumId w:val="10"/>
  </w:num>
  <w:num w:numId="12">
    <w:abstractNumId w:val="27"/>
  </w:num>
  <w:num w:numId="13">
    <w:abstractNumId w:val="42"/>
  </w:num>
  <w:num w:numId="14">
    <w:abstractNumId w:val="21"/>
  </w:num>
  <w:num w:numId="15">
    <w:abstractNumId w:val="22"/>
  </w:num>
  <w:num w:numId="16">
    <w:abstractNumId w:val="28"/>
  </w:num>
  <w:num w:numId="17">
    <w:abstractNumId w:val="5"/>
  </w:num>
  <w:num w:numId="18">
    <w:abstractNumId w:val="0"/>
  </w:num>
  <w:num w:numId="19">
    <w:abstractNumId w:val="15"/>
  </w:num>
  <w:num w:numId="20">
    <w:abstractNumId w:val="19"/>
  </w:num>
  <w:num w:numId="21">
    <w:abstractNumId w:val="29"/>
  </w:num>
  <w:num w:numId="22">
    <w:abstractNumId w:val="2"/>
  </w:num>
  <w:num w:numId="23">
    <w:abstractNumId w:val="6"/>
  </w:num>
  <w:num w:numId="24">
    <w:abstractNumId w:val="4"/>
  </w:num>
  <w:num w:numId="25">
    <w:abstractNumId w:val="40"/>
  </w:num>
  <w:num w:numId="26">
    <w:abstractNumId w:val="31"/>
  </w:num>
  <w:num w:numId="27">
    <w:abstractNumId w:val="3"/>
  </w:num>
  <w:num w:numId="28">
    <w:abstractNumId w:val="41"/>
  </w:num>
  <w:num w:numId="29">
    <w:abstractNumId w:val="33"/>
  </w:num>
  <w:num w:numId="30">
    <w:abstractNumId w:val="38"/>
  </w:num>
  <w:num w:numId="31">
    <w:abstractNumId w:val="1"/>
  </w:num>
  <w:num w:numId="32">
    <w:abstractNumId w:val="14"/>
  </w:num>
  <w:num w:numId="33">
    <w:abstractNumId w:val="34"/>
  </w:num>
  <w:num w:numId="34">
    <w:abstractNumId w:val="7"/>
  </w:num>
  <w:num w:numId="35">
    <w:abstractNumId w:val="25"/>
  </w:num>
  <w:num w:numId="36">
    <w:abstractNumId w:val="32"/>
  </w:num>
  <w:num w:numId="37">
    <w:abstractNumId w:val="24"/>
  </w:num>
  <w:num w:numId="38">
    <w:abstractNumId w:val="30"/>
  </w:num>
  <w:num w:numId="39">
    <w:abstractNumId w:val="23"/>
  </w:num>
  <w:num w:numId="40">
    <w:abstractNumId w:val="35"/>
  </w:num>
  <w:num w:numId="41">
    <w:abstractNumId w:val="20"/>
  </w:num>
  <w:num w:numId="42">
    <w:abstractNumId w:val="12"/>
  </w:num>
  <w:num w:numId="43">
    <w:abstractNumId w:val="39"/>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59AC"/>
    <w:rsid w:val="00005DB1"/>
    <w:rsid w:val="00025039"/>
    <w:rsid w:val="00031658"/>
    <w:rsid w:val="00033C9D"/>
    <w:rsid w:val="00051CF4"/>
    <w:rsid w:val="0007506B"/>
    <w:rsid w:val="0007563C"/>
    <w:rsid w:val="00080911"/>
    <w:rsid w:val="0008762A"/>
    <w:rsid w:val="00091FFE"/>
    <w:rsid w:val="0009221C"/>
    <w:rsid w:val="00094055"/>
    <w:rsid w:val="000A3A3F"/>
    <w:rsid w:val="000B1C78"/>
    <w:rsid w:val="000B2886"/>
    <w:rsid w:val="000C040E"/>
    <w:rsid w:val="000D1240"/>
    <w:rsid w:val="000D21AA"/>
    <w:rsid w:val="000D3D6F"/>
    <w:rsid w:val="000E3F0A"/>
    <w:rsid w:val="000E6A72"/>
    <w:rsid w:val="000F2672"/>
    <w:rsid w:val="000F2F13"/>
    <w:rsid w:val="000F65B2"/>
    <w:rsid w:val="000F69BB"/>
    <w:rsid w:val="00102BC9"/>
    <w:rsid w:val="001051B3"/>
    <w:rsid w:val="0011144E"/>
    <w:rsid w:val="0011645A"/>
    <w:rsid w:val="00117613"/>
    <w:rsid w:val="001176E1"/>
    <w:rsid w:val="0012433D"/>
    <w:rsid w:val="001466C7"/>
    <w:rsid w:val="00147EB1"/>
    <w:rsid w:val="001562BD"/>
    <w:rsid w:val="00163F89"/>
    <w:rsid w:val="00164D9D"/>
    <w:rsid w:val="00176FE7"/>
    <w:rsid w:val="00184C38"/>
    <w:rsid w:val="00184C76"/>
    <w:rsid w:val="001A0A97"/>
    <w:rsid w:val="001A6CE4"/>
    <w:rsid w:val="001B51F6"/>
    <w:rsid w:val="001B6F35"/>
    <w:rsid w:val="001C370A"/>
    <w:rsid w:val="001C4AF3"/>
    <w:rsid w:val="001D3B25"/>
    <w:rsid w:val="002046C2"/>
    <w:rsid w:val="002123DC"/>
    <w:rsid w:val="002150EE"/>
    <w:rsid w:val="00215C76"/>
    <w:rsid w:val="00236938"/>
    <w:rsid w:val="0023735B"/>
    <w:rsid w:val="00245E5E"/>
    <w:rsid w:val="00255201"/>
    <w:rsid w:val="00262849"/>
    <w:rsid w:val="0027584F"/>
    <w:rsid w:val="00291D19"/>
    <w:rsid w:val="00293939"/>
    <w:rsid w:val="002A0109"/>
    <w:rsid w:val="002B5752"/>
    <w:rsid w:val="002B57D1"/>
    <w:rsid w:val="002B585F"/>
    <w:rsid w:val="002C23B6"/>
    <w:rsid w:val="002C5B41"/>
    <w:rsid w:val="002D4B71"/>
    <w:rsid w:val="002D7C79"/>
    <w:rsid w:val="002E17DC"/>
    <w:rsid w:val="002E7138"/>
    <w:rsid w:val="002F1840"/>
    <w:rsid w:val="002F4C5E"/>
    <w:rsid w:val="00313BE1"/>
    <w:rsid w:val="00320C66"/>
    <w:rsid w:val="00322F9D"/>
    <w:rsid w:val="00335FF2"/>
    <w:rsid w:val="0035165F"/>
    <w:rsid w:val="003540A8"/>
    <w:rsid w:val="00365F77"/>
    <w:rsid w:val="0036783A"/>
    <w:rsid w:val="003753A2"/>
    <w:rsid w:val="00377CF2"/>
    <w:rsid w:val="003840BC"/>
    <w:rsid w:val="00386717"/>
    <w:rsid w:val="0039532E"/>
    <w:rsid w:val="003959CB"/>
    <w:rsid w:val="00397D7C"/>
    <w:rsid w:val="003A6D77"/>
    <w:rsid w:val="003E25DE"/>
    <w:rsid w:val="003E3BF2"/>
    <w:rsid w:val="003F1C00"/>
    <w:rsid w:val="003F363E"/>
    <w:rsid w:val="00403F0C"/>
    <w:rsid w:val="004137F4"/>
    <w:rsid w:val="00414BE7"/>
    <w:rsid w:val="00424DD6"/>
    <w:rsid w:val="00445DB6"/>
    <w:rsid w:val="004609C8"/>
    <w:rsid w:val="004662A0"/>
    <w:rsid w:val="00477FA7"/>
    <w:rsid w:val="00492C30"/>
    <w:rsid w:val="0049340A"/>
    <w:rsid w:val="00494D4C"/>
    <w:rsid w:val="004A1A65"/>
    <w:rsid w:val="004A4AE5"/>
    <w:rsid w:val="004A5B8C"/>
    <w:rsid w:val="004B2067"/>
    <w:rsid w:val="004B2787"/>
    <w:rsid w:val="004B6963"/>
    <w:rsid w:val="004E29B8"/>
    <w:rsid w:val="004E4B43"/>
    <w:rsid w:val="004F35CD"/>
    <w:rsid w:val="00505689"/>
    <w:rsid w:val="00507ECB"/>
    <w:rsid w:val="00514201"/>
    <w:rsid w:val="00517756"/>
    <w:rsid w:val="00525131"/>
    <w:rsid w:val="00541999"/>
    <w:rsid w:val="00542DD8"/>
    <w:rsid w:val="00581B7D"/>
    <w:rsid w:val="005868F2"/>
    <w:rsid w:val="00591C6D"/>
    <w:rsid w:val="00597104"/>
    <w:rsid w:val="005A454A"/>
    <w:rsid w:val="005D1B2F"/>
    <w:rsid w:val="005D68D2"/>
    <w:rsid w:val="005E131F"/>
    <w:rsid w:val="005F2F0F"/>
    <w:rsid w:val="005F354E"/>
    <w:rsid w:val="006017CB"/>
    <w:rsid w:val="006017DE"/>
    <w:rsid w:val="0060471B"/>
    <w:rsid w:val="00611219"/>
    <w:rsid w:val="00611535"/>
    <w:rsid w:val="00621FD3"/>
    <w:rsid w:val="00631F40"/>
    <w:rsid w:val="006338D9"/>
    <w:rsid w:val="00637712"/>
    <w:rsid w:val="00656C2A"/>
    <w:rsid w:val="006648E8"/>
    <w:rsid w:val="00666592"/>
    <w:rsid w:val="006724F9"/>
    <w:rsid w:val="00675A71"/>
    <w:rsid w:val="006825BF"/>
    <w:rsid w:val="0069356E"/>
    <w:rsid w:val="006969D2"/>
    <w:rsid w:val="006A6B0A"/>
    <w:rsid w:val="006B2E6F"/>
    <w:rsid w:val="006B68E9"/>
    <w:rsid w:val="006C22CD"/>
    <w:rsid w:val="006C2BEA"/>
    <w:rsid w:val="006D5E65"/>
    <w:rsid w:val="006E1465"/>
    <w:rsid w:val="007271E2"/>
    <w:rsid w:val="007415CE"/>
    <w:rsid w:val="00762BBB"/>
    <w:rsid w:val="00763707"/>
    <w:rsid w:val="00787559"/>
    <w:rsid w:val="007A68AD"/>
    <w:rsid w:val="007B0FCE"/>
    <w:rsid w:val="007B2D54"/>
    <w:rsid w:val="007C4E97"/>
    <w:rsid w:val="007C5992"/>
    <w:rsid w:val="007E1262"/>
    <w:rsid w:val="007F3441"/>
    <w:rsid w:val="007F3C23"/>
    <w:rsid w:val="007F3E7B"/>
    <w:rsid w:val="007F5141"/>
    <w:rsid w:val="0080179B"/>
    <w:rsid w:val="00801846"/>
    <w:rsid w:val="008060E5"/>
    <w:rsid w:val="00813A47"/>
    <w:rsid w:val="00815532"/>
    <w:rsid w:val="00822AB7"/>
    <w:rsid w:val="008506EB"/>
    <w:rsid w:val="00854404"/>
    <w:rsid w:val="00855BC3"/>
    <w:rsid w:val="00856020"/>
    <w:rsid w:val="008667D5"/>
    <w:rsid w:val="0087673F"/>
    <w:rsid w:val="00893D2C"/>
    <w:rsid w:val="008A4084"/>
    <w:rsid w:val="008A7E5C"/>
    <w:rsid w:val="008B783B"/>
    <w:rsid w:val="008C687E"/>
    <w:rsid w:val="008D3D4E"/>
    <w:rsid w:val="008D4D7F"/>
    <w:rsid w:val="008D4E94"/>
    <w:rsid w:val="008E467A"/>
    <w:rsid w:val="00901BD3"/>
    <w:rsid w:val="009242FB"/>
    <w:rsid w:val="009310AB"/>
    <w:rsid w:val="009450D9"/>
    <w:rsid w:val="009534F1"/>
    <w:rsid w:val="0096486B"/>
    <w:rsid w:val="009800BD"/>
    <w:rsid w:val="00980A5B"/>
    <w:rsid w:val="009933E3"/>
    <w:rsid w:val="009949C9"/>
    <w:rsid w:val="00997989"/>
    <w:rsid w:val="009C3D2A"/>
    <w:rsid w:val="009D1485"/>
    <w:rsid w:val="009D1AA1"/>
    <w:rsid w:val="009F6236"/>
    <w:rsid w:val="00A05964"/>
    <w:rsid w:val="00A06A24"/>
    <w:rsid w:val="00A06F0F"/>
    <w:rsid w:val="00A270D5"/>
    <w:rsid w:val="00A31982"/>
    <w:rsid w:val="00A449AF"/>
    <w:rsid w:val="00A463D5"/>
    <w:rsid w:val="00A516FB"/>
    <w:rsid w:val="00A57BEF"/>
    <w:rsid w:val="00A76577"/>
    <w:rsid w:val="00A76BB7"/>
    <w:rsid w:val="00A975B3"/>
    <w:rsid w:val="00AA0F42"/>
    <w:rsid w:val="00AA25A8"/>
    <w:rsid w:val="00AA3938"/>
    <w:rsid w:val="00AC08F3"/>
    <w:rsid w:val="00AC18C2"/>
    <w:rsid w:val="00AC22C9"/>
    <w:rsid w:val="00AC6CA5"/>
    <w:rsid w:val="00AE0A1D"/>
    <w:rsid w:val="00AE73A1"/>
    <w:rsid w:val="00AF12C7"/>
    <w:rsid w:val="00B03E44"/>
    <w:rsid w:val="00B06259"/>
    <w:rsid w:val="00B145A0"/>
    <w:rsid w:val="00B176FA"/>
    <w:rsid w:val="00B243DF"/>
    <w:rsid w:val="00B25CFD"/>
    <w:rsid w:val="00B26655"/>
    <w:rsid w:val="00B41F38"/>
    <w:rsid w:val="00B42550"/>
    <w:rsid w:val="00B46354"/>
    <w:rsid w:val="00B5564F"/>
    <w:rsid w:val="00B72103"/>
    <w:rsid w:val="00B7688B"/>
    <w:rsid w:val="00B8598B"/>
    <w:rsid w:val="00B92A0C"/>
    <w:rsid w:val="00B93AA4"/>
    <w:rsid w:val="00B93D5B"/>
    <w:rsid w:val="00B944FF"/>
    <w:rsid w:val="00B9462C"/>
    <w:rsid w:val="00BB30B1"/>
    <w:rsid w:val="00BB3B46"/>
    <w:rsid w:val="00BB6655"/>
    <w:rsid w:val="00BB76EC"/>
    <w:rsid w:val="00BE2079"/>
    <w:rsid w:val="00BE7C12"/>
    <w:rsid w:val="00C063F2"/>
    <w:rsid w:val="00C0692C"/>
    <w:rsid w:val="00C25499"/>
    <w:rsid w:val="00C277EB"/>
    <w:rsid w:val="00C30158"/>
    <w:rsid w:val="00C318C2"/>
    <w:rsid w:val="00C3240B"/>
    <w:rsid w:val="00C33573"/>
    <w:rsid w:val="00C36955"/>
    <w:rsid w:val="00C3734D"/>
    <w:rsid w:val="00C37719"/>
    <w:rsid w:val="00C44E88"/>
    <w:rsid w:val="00C5399C"/>
    <w:rsid w:val="00C55AD0"/>
    <w:rsid w:val="00C562A7"/>
    <w:rsid w:val="00C648D0"/>
    <w:rsid w:val="00C65373"/>
    <w:rsid w:val="00C82EC5"/>
    <w:rsid w:val="00C84CAD"/>
    <w:rsid w:val="00C868D3"/>
    <w:rsid w:val="00C87D08"/>
    <w:rsid w:val="00C97F39"/>
    <w:rsid w:val="00CA1EED"/>
    <w:rsid w:val="00CA61E0"/>
    <w:rsid w:val="00CB3C48"/>
    <w:rsid w:val="00CB66E8"/>
    <w:rsid w:val="00CB7206"/>
    <w:rsid w:val="00CC1F09"/>
    <w:rsid w:val="00CC4788"/>
    <w:rsid w:val="00CE52B4"/>
    <w:rsid w:val="00CE7025"/>
    <w:rsid w:val="00CE70EB"/>
    <w:rsid w:val="00CF0ECB"/>
    <w:rsid w:val="00CF1AED"/>
    <w:rsid w:val="00CF210C"/>
    <w:rsid w:val="00CF7689"/>
    <w:rsid w:val="00D0207F"/>
    <w:rsid w:val="00D12064"/>
    <w:rsid w:val="00D36838"/>
    <w:rsid w:val="00D45658"/>
    <w:rsid w:val="00D457E8"/>
    <w:rsid w:val="00D631F3"/>
    <w:rsid w:val="00D719C2"/>
    <w:rsid w:val="00D719C4"/>
    <w:rsid w:val="00D7336C"/>
    <w:rsid w:val="00D81504"/>
    <w:rsid w:val="00D848C4"/>
    <w:rsid w:val="00D856C3"/>
    <w:rsid w:val="00DA16A6"/>
    <w:rsid w:val="00DA5CBF"/>
    <w:rsid w:val="00DC6606"/>
    <w:rsid w:val="00DD073C"/>
    <w:rsid w:val="00DD7702"/>
    <w:rsid w:val="00DE06CA"/>
    <w:rsid w:val="00E00E89"/>
    <w:rsid w:val="00E05CCE"/>
    <w:rsid w:val="00E14B93"/>
    <w:rsid w:val="00E21127"/>
    <w:rsid w:val="00E23DA9"/>
    <w:rsid w:val="00E35117"/>
    <w:rsid w:val="00E376C7"/>
    <w:rsid w:val="00E406A8"/>
    <w:rsid w:val="00E4461A"/>
    <w:rsid w:val="00E47230"/>
    <w:rsid w:val="00E57F90"/>
    <w:rsid w:val="00E6025A"/>
    <w:rsid w:val="00E629AC"/>
    <w:rsid w:val="00E62BCB"/>
    <w:rsid w:val="00E70EB6"/>
    <w:rsid w:val="00E75A92"/>
    <w:rsid w:val="00E8051B"/>
    <w:rsid w:val="00E86E20"/>
    <w:rsid w:val="00E9694D"/>
    <w:rsid w:val="00EC3FD1"/>
    <w:rsid w:val="00ED622F"/>
    <w:rsid w:val="00ED6E2E"/>
    <w:rsid w:val="00EE0DC2"/>
    <w:rsid w:val="00EE48FC"/>
    <w:rsid w:val="00F00C3B"/>
    <w:rsid w:val="00F052FD"/>
    <w:rsid w:val="00F24A31"/>
    <w:rsid w:val="00F27DD2"/>
    <w:rsid w:val="00F32A97"/>
    <w:rsid w:val="00F33C51"/>
    <w:rsid w:val="00F35A16"/>
    <w:rsid w:val="00F43BF7"/>
    <w:rsid w:val="00F569C0"/>
    <w:rsid w:val="00F62C9C"/>
    <w:rsid w:val="00F63DF5"/>
    <w:rsid w:val="00F84F0E"/>
    <w:rsid w:val="00F85DB9"/>
    <w:rsid w:val="00F92FCA"/>
    <w:rsid w:val="00FA27D4"/>
    <w:rsid w:val="00FA79D8"/>
    <w:rsid w:val="00FD5CE0"/>
    <w:rsid w:val="00FD68F5"/>
    <w:rsid w:val="00FF0307"/>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next w:val="Normal"/>
    <w:link w:val="Heading2Char"/>
    <w:uiPriority w:val="9"/>
    <w:unhideWhenUsed/>
    <w:qFormat/>
    <w:rsid w:val="00CF1AED"/>
    <w:pPr>
      <w:keepNext/>
      <w:keepLines/>
      <w:spacing w:after="104" w:line="259" w:lineRule="auto"/>
      <w:ind w:left="10" w:hanging="10"/>
      <w:outlineLvl w:val="1"/>
    </w:pPr>
    <w:rPr>
      <w:rFonts w:ascii="Cambria" w:eastAsia="Cambria" w:hAnsi="Cambria" w:cs="Cambria"/>
      <w:b/>
      <w:color w:val="4F81BD"/>
      <w:sz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1"/>
    <w:qFormat/>
    <w:rsid w:val="006017CB"/>
    <w:pPr>
      <w:ind w:left="720"/>
      <w:contextualSpacing/>
    </w:pPr>
  </w:style>
  <w:style w:type="character" w:customStyle="1" w:styleId="Heading2Char">
    <w:name w:val="Heading 2 Char"/>
    <w:basedOn w:val="DefaultParagraphFont"/>
    <w:link w:val="Heading2"/>
    <w:uiPriority w:val="9"/>
    <w:rsid w:val="00CF1AED"/>
    <w:rPr>
      <w:rFonts w:ascii="Cambria" w:eastAsia="Cambria" w:hAnsi="Cambria" w:cs="Cambria"/>
      <w:b/>
      <w:color w:val="4F81BD"/>
      <w:sz w:val="26"/>
      <w:lang w:val="en-GB" w:eastAsia="en-GB"/>
    </w:rPr>
  </w:style>
  <w:style w:type="table" w:customStyle="1" w:styleId="TableGrid">
    <w:name w:val="TableGrid"/>
    <w:rsid w:val="00033C9D"/>
    <w:pPr>
      <w:spacing w:after="0" w:line="240" w:lineRule="auto"/>
    </w:pPr>
    <w:rPr>
      <w:rFonts w:eastAsiaTheme="minorEastAsia"/>
      <w:lang w:val="en-GB"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8AC3D-5DA0-40FC-98C2-F13BF2EB1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25</Pages>
  <Words>7808</Words>
  <Characters>44512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9</cp:revision>
  <cp:lastPrinted>2017-12-16T09:49:00Z</cp:lastPrinted>
  <dcterms:created xsi:type="dcterms:W3CDTF">2017-12-04T06:34:00Z</dcterms:created>
  <dcterms:modified xsi:type="dcterms:W3CDTF">2017-12-29T08:09:00Z</dcterms:modified>
</cp:coreProperties>
</file>